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11B118" w14:textId="2D806DAC" w:rsidR="006D70B6" w:rsidRDefault="006D70B6" w:rsidP="00947C96">
      <w:pPr>
        <w:pBdr>
          <w:top w:val="single" w:sz="4" w:space="1" w:color="auto"/>
          <w:left w:val="single" w:sz="4" w:space="4" w:color="auto"/>
          <w:bottom w:val="single" w:sz="4" w:space="1" w:color="auto"/>
          <w:right w:val="single" w:sz="4" w:space="4" w:color="auto"/>
        </w:pBdr>
        <w:rPr>
          <w:b/>
          <w:bCs/>
          <w:sz w:val="36"/>
          <w:szCs w:val="36"/>
        </w:rPr>
      </w:pPr>
      <w:r w:rsidRPr="0040174A">
        <w:rPr>
          <w:b/>
          <w:bCs/>
          <w:sz w:val="36"/>
          <w:szCs w:val="36"/>
        </w:rPr>
        <w:t xml:space="preserve">Did Pfizer </w:t>
      </w:r>
      <w:r w:rsidR="00B841DF">
        <w:rPr>
          <w:b/>
          <w:bCs/>
          <w:sz w:val="36"/>
          <w:szCs w:val="36"/>
        </w:rPr>
        <w:t>Perform</w:t>
      </w:r>
      <w:r w:rsidRPr="0040174A">
        <w:rPr>
          <w:b/>
          <w:bCs/>
          <w:sz w:val="36"/>
          <w:szCs w:val="36"/>
        </w:rPr>
        <w:t xml:space="preserve"> </w:t>
      </w:r>
      <w:r w:rsidR="00B841DF">
        <w:rPr>
          <w:b/>
          <w:bCs/>
          <w:sz w:val="36"/>
          <w:szCs w:val="36"/>
        </w:rPr>
        <w:t xml:space="preserve">Adequate </w:t>
      </w:r>
      <w:r w:rsidRPr="0040174A">
        <w:rPr>
          <w:b/>
          <w:bCs/>
          <w:sz w:val="36"/>
          <w:szCs w:val="36"/>
        </w:rPr>
        <w:t>Safety T</w:t>
      </w:r>
      <w:r w:rsidR="00666244">
        <w:rPr>
          <w:b/>
          <w:bCs/>
          <w:sz w:val="36"/>
          <w:szCs w:val="36"/>
        </w:rPr>
        <w:t xml:space="preserve">esting for its </w:t>
      </w:r>
      <w:r w:rsidR="00B30782">
        <w:rPr>
          <w:b/>
          <w:bCs/>
          <w:sz w:val="36"/>
          <w:szCs w:val="36"/>
        </w:rPr>
        <w:t xml:space="preserve">Covid-19 </w:t>
      </w:r>
      <w:r w:rsidR="00666244">
        <w:rPr>
          <w:b/>
          <w:bCs/>
          <w:sz w:val="36"/>
          <w:szCs w:val="36"/>
        </w:rPr>
        <w:t xml:space="preserve">mRNA </w:t>
      </w:r>
      <w:r w:rsidR="00B30782">
        <w:rPr>
          <w:b/>
          <w:bCs/>
          <w:sz w:val="36"/>
          <w:szCs w:val="36"/>
        </w:rPr>
        <w:t>Vaccine</w:t>
      </w:r>
      <w:r w:rsidR="00666244">
        <w:rPr>
          <w:b/>
          <w:bCs/>
          <w:sz w:val="36"/>
          <w:szCs w:val="36"/>
        </w:rPr>
        <w:t xml:space="preserve"> in Preclinical Studies?</w:t>
      </w:r>
    </w:p>
    <w:p w14:paraId="37831D39" w14:textId="1208ACE2" w:rsidR="00B30782" w:rsidRPr="0040174A" w:rsidRDefault="00B30782" w:rsidP="00947C96">
      <w:pPr>
        <w:pBdr>
          <w:top w:val="single" w:sz="4" w:space="1" w:color="auto"/>
          <w:left w:val="single" w:sz="4" w:space="4" w:color="auto"/>
          <w:bottom w:val="single" w:sz="4" w:space="1" w:color="auto"/>
          <w:right w:val="single" w:sz="4" w:space="4" w:color="auto"/>
        </w:pBdr>
        <w:rPr>
          <w:b/>
          <w:bCs/>
          <w:sz w:val="36"/>
          <w:szCs w:val="36"/>
        </w:rPr>
      </w:pPr>
      <w:r>
        <w:rPr>
          <w:b/>
          <w:bCs/>
          <w:sz w:val="36"/>
          <w:szCs w:val="36"/>
        </w:rPr>
        <w:t>Evidence of Scientific and Regulatory Fraud</w:t>
      </w:r>
    </w:p>
    <w:p w14:paraId="3647FD62" w14:textId="2A575FFB" w:rsidR="00423B2B" w:rsidRDefault="00423B2B">
      <w:r>
        <w:t xml:space="preserve">The rushed </w:t>
      </w:r>
      <w:r w:rsidR="003C4781">
        <w:t xml:space="preserve">“warp speed” </w:t>
      </w:r>
      <w:r>
        <w:t xml:space="preserve">development and approval of completely novel Covid-19 mRNA and DNA vaccines pushed on </w:t>
      </w:r>
      <w:r w:rsidR="003C4781">
        <w:t>millions of people has resulted today in millions of reported injuries and thousands of deaths according to public health databases such as VAERS</w:t>
      </w:r>
      <w:r w:rsidR="00B30782">
        <w:t xml:space="preserve"> (US)</w:t>
      </w:r>
      <w:r w:rsidR="003C4781">
        <w:t xml:space="preserve">, </w:t>
      </w:r>
      <w:proofErr w:type="spellStart"/>
      <w:r w:rsidR="003C4781">
        <w:t>Eduravigilance</w:t>
      </w:r>
      <w:proofErr w:type="spellEnd"/>
      <w:r w:rsidR="00B30782">
        <w:t xml:space="preserve"> (EU)</w:t>
      </w:r>
      <w:r w:rsidR="003C4781">
        <w:t>, Yellow Card</w:t>
      </w:r>
      <w:r w:rsidR="00B30782">
        <w:t xml:space="preserve"> (UK)</w:t>
      </w:r>
      <w:r w:rsidR="003C4781">
        <w:t xml:space="preserve"> and others.  This article reviews some of the publicly available documents on Pfizer’s non-clinical development program and points to its deficiencies</w:t>
      </w:r>
      <w:r w:rsidR="00127416">
        <w:t>, omissions and</w:t>
      </w:r>
      <w:r w:rsidR="003C4781">
        <w:t xml:space="preserve"> </w:t>
      </w:r>
      <w:r w:rsidR="00127416">
        <w:t>gaps that were clearly visible, yet never questioned by the regulators or other health authorities.</w:t>
      </w:r>
      <w:r w:rsidR="003C4781">
        <w:t xml:space="preserve"> </w:t>
      </w:r>
      <w:r>
        <w:t xml:space="preserve"> </w:t>
      </w:r>
      <w:r w:rsidR="00127416">
        <w:t>The cursory nature of the entire preclinical program</w:t>
      </w:r>
      <w:r w:rsidR="00131BBF">
        <w:t xml:space="preserve"> can be briefly summarized as “</w:t>
      </w:r>
      <w:r w:rsidR="00131BBF" w:rsidRPr="009208E1">
        <w:rPr>
          <w:i/>
          <w:iCs/>
        </w:rPr>
        <w:t>we did not find any safety signals because we did not look for them</w:t>
      </w:r>
      <w:r w:rsidR="00131BBF">
        <w:t>”. The omissions of standard safety studies</w:t>
      </w:r>
      <w:r w:rsidR="004B0EB3">
        <w:t xml:space="preserve"> and glaring scientific dishonesty in the studies that were performed</w:t>
      </w:r>
      <w:r w:rsidR="00127416">
        <w:t xml:space="preserve"> </w:t>
      </w:r>
      <w:r w:rsidR="00131BBF">
        <w:t>are</w:t>
      </w:r>
      <w:r w:rsidR="00127416">
        <w:t xml:space="preserve"> so obvious that </w:t>
      </w:r>
      <w:r w:rsidR="00131BBF">
        <w:t>they</w:t>
      </w:r>
      <w:r w:rsidR="00127416">
        <w:t xml:space="preserve"> cannot be attributed to the incompetence of the manufacturers and regulator</w:t>
      </w:r>
      <w:r w:rsidR="00131BBF">
        <w:t>s</w:t>
      </w:r>
      <w:r w:rsidR="00127416">
        <w:t xml:space="preserve">.  Rather, the question of wilful negligence should be raised. </w:t>
      </w:r>
    </w:p>
    <w:p w14:paraId="7509F6DF" w14:textId="3392AE37" w:rsidR="004B0EB3" w:rsidRDefault="004B0EB3">
      <w:r>
        <w:t xml:space="preserve">The focus of my review was the scope and </w:t>
      </w:r>
      <w:r w:rsidR="00D05359">
        <w:t xml:space="preserve">adequacy </w:t>
      </w:r>
      <w:r>
        <w:t xml:space="preserve">of the program of non-clinical assessment for a novel </w:t>
      </w:r>
      <w:r w:rsidR="005352F0">
        <w:t>gene therapy vaccine with a brief discussion of relevant regulatory frameworks</w:t>
      </w:r>
      <w:r>
        <w:t xml:space="preserve">.  I did not dive </w:t>
      </w:r>
      <w:r w:rsidR="000D7B1C">
        <w:t xml:space="preserve">deeply </w:t>
      </w:r>
      <w:r>
        <w:t xml:space="preserve">into the review of the </w:t>
      </w:r>
      <w:r w:rsidR="000D7B1C">
        <w:t xml:space="preserve">results of </w:t>
      </w:r>
      <w:r w:rsidR="00F4464F">
        <w:t>specific</w:t>
      </w:r>
      <w:r w:rsidR="000D7B1C">
        <w:t xml:space="preserve"> studies</w:t>
      </w:r>
      <w:r>
        <w:t>.  My goal is to illustrate the complete breakdown of the</w:t>
      </w:r>
      <w:r w:rsidR="00A93F77">
        <w:t xml:space="preserve"> previously</w:t>
      </w:r>
      <w:r w:rsidR="00317729">
        <w:t xml:space="preserve"> known to be</w:t>
      </w:r>
      <w:r>
        <w:t xml:space="preserve"> rigorous ethical drug development process as well as </w:t>
      </w:r>
      <w:r w:rsidR="00A93F77">
        <w:t xml:space="preserve">the shocking negligence on the part </w:t>
      </w:r>
      <w:r>
        <w:t xml:space="preserve">of the regulatory agencies that </w:t>
      </w:r>
      <w:r w:rsidR="00A93F77">
        <w:t xml:space="preserve">are </w:t>
      </w:r>
      <w:r w:rsidR="00317729">
        <w:t>supposed</w:t>
      </w:r>
      <w:r w:rsidR="00A93F77">
        <w:t xml:space="preserve"> </w:t>
      </w:r>
      <w:r>
        <w:t xml:space="preserve">to keep the </w:t>
      </w:r>
      <w:r w:rsidR="00646334">
        <w:t xml:space="preserve">pharmaceutical </w:t>
      </w:r>
      <w:r>
        <w:t xml:space="preserve">manufacturers honest.  </w:t>
      </w:r>
      <w:r w:rsidR="00317729">
        <w:t xml:space="preserve">It turns out that both were highly dishonest and pushed an entirely novel technology and product on millions of people without a single well designed safety assessment. </w:t>
      </w:r>
    </w:p>
    <w:p w14:paraId="3D05CB2F" w14:textId="16682F39" w:rsidR="00A93F77" w:rsidRDefault="00A93F77">
      <w:r>
        <w:t>In summary, I have identified the following:</w:t>
      </w:r>
    </w:p>
    <w:p w14:paraId="7E603F06" w14:textId="278492D4" w:rsidR="00A93F77" w:rsidRPr="00DA2909" w:rsidRDefault="00A93F77" w:rsidP="00A93F77">
      <w:pPr>
        <w:rPr>
          <w:sz w:val="24"/>
          <w:szCs w:val="24"/>
        </w:rPr>
      </w:pPr>
      <w:r w:rsidRPr="00DA2909">
        <w:rPr>
          <w:b/>
          <w:bCs/>
          <w:sz w:val="24"/>
          <w:szCs w:val="24"/>
        </w:rPr>
        <w:t xml:space="preserve">Finding 1: </w:t>
      </w:r>
      <w:r w:rsidRPr="00DA2909">
        <w:rPr>
          <w:sz w:val="24"/>
          <w:szCs w:val="24"/>
        </w:rPr>
        <w:t xml:space="preserve">Pfizer </w:t>
      </w:r>
      <w:r w:rsidR="001C5BAB">
        <w:rPr>
          <w:sz w:val="24"/>
          <w:szCs w:val="24"/>
        </w:rPr>
        <w:t>relied on studies for</w:t>
      </w:r>
      <w:r w:rsidRPr="00DA2909">
        <w:rPr>
          <w:sz w:val="24"/>
          <w:szCs w:val="24"/>
        </w:rPr>
        <w:t xml:space="preserve"> different versions of its product and different formulations of the lipid nanoparticle (LNP) delivery platform. The program did not include </w:t>
      </w:r>
      <w:r w:rsidR="005352F0" w:rsidRPr="00DA2909">
        <w:rPr>
          <w:sz w:val="24"/>
          <w:szCs w:val="24"/>
        </w:rPr>
        <w:t xml:space="preserve">a </w:t>
      </w:r>
      <w:r w:rsidRPr="00DA2909">
        <w:rPr>
          <w:sz w:val="24"/>
          <w:szCs w:val="24"/>
        </w:rPr>
        <w:t xml:space="preserve">comprehensive test of all components of the final product. </w:t>
      </w:r>
    </w:p>
    <w:p w14:paraId="647B9C4B" w14:textId="1D1BA6E9" w:rsidR="00A93F77" w:rsidRPr="00DA2909" w:rsidRDefault="00A93F77" w:rsidP="00A93F77">
      <w:pPr>
        <w:rPr>
          <w:b/>
          <w:bCs/>
          <w:sz w:val="24"/>
          <w:szCs w:val="24"/>
        </w:rPr>
      </w:pPr>
      <w:r w:rsidRPr="00DA2909">
        <w:rPr>
          <w:b/>
          <w:bCs/>
          <w:sz w:val="24"/>
          <w:szCs w:val="24"/>
        </w:rPr>
        <w:t xml:space="preserve">Finding 2: </w:t>
      </w:r>
      <w:r w:rsidRPr="00DA2909">
        <w:rPr>
          <w:sz w:val="24"/>
          <w:szCs w:val="24"/>
        </w:rPr>
        <w:t xml:space="preserve">The </w:t>
      </w:r>
      <w:r w:rsidR="00E804FD">
        <w:rPr>
          <w:sz w:val="24"/>
          <w:szCs w:val="24"/>
        </w:rPr>
        <w:t>s</w:t>
      </w:r>
      <w:r w:rsidR="001C5BAB">
        <w:rPr>
          <w:sz w:val="24"/>
          <w:szCs w:val="24"/>
        </w:rPr>
        <w:t>afety</w:t>
      </w:r>
      <w:r w:rsidRPr="00DA2909">
        <w:rPr>
          <w:sz w:val="24"/>
          <w:szCs w:val="24"/>
        </w:rPr>
        <w:t xml:space="preserve"> of the </w:t>
      </w:r>
      <w:r w:rsidR="00E804FD">
        <w:rPr>
          <w:sz w:val="24"/>
          <w:szCs w:val="24"/>
        </w:rPr>
        <w:t>v</w:t>
      </w:r>
      <w:r w:rsidRPr="00DA2909">
        <w:rPr>
          <w:sz w:val="24"/>
          <w:szCs w:val="24"/>
        </w:rPr>
        <w:t xml:space="preserve">accine’s mRNA </w:t>
      </w:r>
      <w:r w:rsidR="00E804FD">
        <w:rPr>
          <w:sz w:val="24"/>
          <w:szCs w:val="24"/>
        </w:rPr>
        <w:t>a</w:t>
      </w:r>
      <w:r w:rsidRPr="00DA2909">
        <w:rPr>
          <w:sz w:val="24"/>
          <w:szCs w:val="24"/>
        </w:rPr>
        <w:t xml:space="preserve">ctive </w:t>
      </w:r>
      <w:r w:rsidR="00E804FD">
        <w:rPr>
          <w:sz w:val="24"/>
          <w:szCs w:val="24"/>
        </w:rPr>
        <w:t>i</w:t>
      </w:r>
      <w:r w:rsidRPr="00DA2909">
        <w:rPr>
          <w:sz w:val="24"/>
          <w:szCs w:val="24"/>
        </w:rPr>
        <w:t xml:space="preserve">ngredient </w:t>
      </w:r>
      <w:r w:rsidR="00E804FD">
        <w:rPr>
          <w:sz w:val="24"/>
          <w:szCs w:val="24"/>
        </w:rPr>
        <w:t>w</w:t>
      </w:r>
      <w:r w:rsidRPr="00DA2909">
        <w:rPr>
          <w:sz w:val="24"/>
          <w:szCs w:val="24"/>
        </w:rPr>
        <w:t xml:space="preserve">as </w:t>
      </w:r>
      <w:r w:rsidR="00E804FD" w:rsidRPr="00F16A32">
        <w:rPr>
          <w:sz w:val="24"/>
          <w:szCs w:val="24"/>
          <w:u w:val="single"/>
        </w:rPr>
        <w:t>n</w:t>
      </w:r>
      <w:r w:rsidRPr="00F16A32">
        <w:rPr>
          <w:sz w:val="24"/>
          <w:szCs w:val="24"/>
          <w:u w:val="single"/>
        </w:rPr>
        <w:t>ever</w:t>
      </w:r>
      <w:r w:rsidRPr="00DA2909">
        <w:rPr>
          <w:sz w:val="24"/>
          <w:szCs w:val="24"/>
        </w:rPr>
        <w:t xml:space="preserve"> </w:t>
      </w:r>
      <w:r w:rsidR="00E804FD">
        <w:rPr>
          <w:sz w:val="24"/>
          <w:szCs w:val="24"/>
        </w:rPr>
        <w:t>s</w:t>
      </w:r>
      <w:r w:rsidRPr="00DA2909">
        <w:rPr>
          <w:sz w:val="24"/>
          <w:szCs w:val="24"/>
        </w:rPr>
        <w:t>tudied!</w:t>
      </w:r>
    </w:p>
    <w:p w14:paraId="71E28A12" w14:textId="22C2BCAD" w:rsidR="005352F0" w:rsidRPr="00DA2909" w:rsidRDefault="005352F0" w:rsidP="00A93F77">
      <w:pPr>
        <w:rPr>
          <w:sz w:val="24"/>
          <w:szCs w:val="24"/>
        </w:rPr>
      </w:pPr>
      <w:r w:rsidRPr="00DA2909">
        <w:rPr>
          <w:b/>
          <w:bCs/>
          <w:sz w:val="24"/>
          <w:szCs w:val="24"/>
        </w:rPr>
        <w:t xml:space="preserve">Finding 3: </w:t>
      </w:r>
      <w:r w:rsidRPr="00DA2909">
        <w:rPr>
          <w:sz w:val="24"/>
          <w:szCs w:val="24"/>
        </w:rPr>
        <w:t xml:space="preserve">Pfizer </w:t>
      </w:r>
      <w:r w:rsidR="00E804FD">
        <w:rPr>
          <w:sz w:val="24"/>
          <w:szCs w:val="24"/>
        </w:rPr>
        <w:t>c</w:t>
      </w:r>
      <w:r w:rsidRPr="00DA2909">
        <w:rPr>
          <w:sz w:val="24"/>
          <w:szCs w:val="24"/>
        </w:rPr>
        <w:t xml:space="preserve">laimed </w:t>
      </w:r>
      <w:r w:rsidR="00E804FD">
        <w:rPr>
          <w:sz w:val="24"/>
          <w:szCs w:val="24"/>
        </w:rPr>
        <w:t>a</w:t>
      </w:r>
      <w:r w:rsidRPr="00DA2909">
        <w:rPr>
          <w:sz w:val="24"/>
          <w:szCs w:val="24"/>
        </w:rPr>
        <w:t xml:space="preserve">bsence of </w:t>
      </w:r>
      <w:r w:rsidR="00E804FD">
        <w:rPr>
          <w:sz w:val="24"/>
          <w:szCs w:val="24"/>
        </w:rPr>
        <w:t>p</w:t>
      </w:r>
      <w:r w:rsidRPr="00DA2909">
        <w:rPr>
          <w:sz w:val="24"/>
          <w:szCs w:val="24"/>
        </w:rPr>
        <w:t xml:space="preserve">otential for </w:t>
      </w:r>
      <w:r w:rsidR="00E804FD">
        <w:rPr>
          <w:sz w:val="24"/>
          <w:szCs w:val="24"/>
        </w:rPr>
        <w:t>e</w:t>
      </w:r>
      <w:r w:rsidRPr="00DA2909">
        <w:rPr>
          <w:sz w:val="24"/>
          <w:szCs w:val="24"/>
        </w:rPr>
        <w:t xml:space="preserve">nhanced </w:t>
      </w:r>
      <w:r w:rsidR="00E804FD">
        <w:rPr>
          <w:sz w:val="24"/>
          <w:szCs w:val="24"/>
        </w:rPr>
        <w:t>c</w:t>
      </w:r>
      <w:r w:rsidRPr="00DA2909">
        <w:rPr>
          <w:sz w:val="24"/>
          <w:szCs w:val="24"/>
        </w:rPr>
        <w:t xml:space="preserve">ovid </w:t>
      </w:r>
      <w:r w:rsidR="00E804FD">
        <w:rPr>
          <w:sz w:val="24"/>
          <w:szCs w:val="24"/>
        </w:rPr>
        <w:t>i</w:t>
      </w:r>
      <w:r w:rsidRPr="00DA2909">
        <w:rPr>
          <w:sz w:val="24"/>
          <w:szCs w:val="24"/>
        </w:rPr>
        <w:t xml:space="preserve">llness in a </w:t>
      </w:r>
      <w:r w:rsidR="00E804FD">
        <w:rPr>
          <w:sz w:val="24"/>
          <w:szCs w:val="24"/>
        </w:rPr>
        <w:t>s</w:t>
      </w:r>
      <w:r w:rsidRPr="00DA2909">
        <w:rPr>
          <w:sz w:val="24"/>
          <w:szCs w:val="24"/>
        </w:rPr>
        <w:t xml:space="preserve">tudy </w:t>
      </w:r>
      <w:r w:rsidR="00E804FD">
        <w:rPr>
          <w:sz w:val="24"/>
          <w:szCs w:val="24"/>
        </w:rPr>
        <w:t>w</w:t>
      </w:r>
      <w:r w:rsidRPr="00DA2909">
        <w:rPr>
          <w:sz w:val="24"/>
          <w:szCs w:val="24"/>
        </w:rPr>
        <w:t xml:space="preserve">here </w:t>
      </w:r>
      <w:r w:rsidR="00E804FD">
        <w:rPr>
          <w:sz w:val="24"/>
          <w:szCs w:val="24"/>
        </w:rPr>
        <w:t>n</w:t>
      </w:r>
      <w:r w:rsidRPr="00DA2909">
        <w:rPr>
          <w:sz w:val="24"/>
          <w:szCs w:val="24"/>
        </w:rPr>
        <w:t xml:space="preserve">o </w:t>
      </w:r>
      <w:r w:rsidR="00E804FD">
        <w:rPr>
          <w:sz w:val="24"/>
          <w:szCs w:val="24"/>
        </w:rPr>
        <w:t>c</w:t>
      </w:r>
      <w:r w:rsidRPr="00DA2909">
        <w:rPr>
          <w:sz w:val="24"/>
          <w:szCs w:val="24"/>
        </w:rPr>
        <w:t xml:space="preserve">ovid </w:t>
      </w:r>
      <w:r w:rsidR="00E804FD">
        <w:rPr>
          <w:sz w:val="24"/>
          <w:szCs w:val="24"/>
        </w:rPr>
        <w:t>i</w:t>
      </w:r>
      <w:r w:rsidRPr="00DA2909">
        <w:rPr>
          <w:sz w:val="24"/>
          <w:szCs w:val="24"/>
        </w:rPr>
        <w:t xml:space="preserve">llness </w:t>
      </w:r>
      <w:r w:rsidR="00E804FD">
        <w:rPr>
          <w:sz w:val="24"/>
          <w:szCs w:val="24"/>
        </w:rPr>
        <w:t>w</w:t>
      </w:r>
      <w:r w:rsidRPr="00DA2909">
        <w:rPr>
          <w:sz w:val="24"/>
          <w:szCs w:val="24"/>
        </w:rPr>
        <w:t xml:space="preserve">as </w:t>
      </w:r>
      <w:r w:rsidR="00E804FD">
        <w:rPr>
          <w:sz w:val="24"/>
          <w:szCs w:val="24"/>
        </w:rPr>
        <w:t>o</w:t>
      </w:r>
      <w:r w:rsidRPr="00DA2909">
        <w:rPr>
          <w:sz w:val="24"/>
          <w:szCs w:val="24"/>
        </w:rPr>
        <w:t>bserved.</w:t>
      </w:r>
    </w:p>
    <w:p w14:paraId="4DE5C4DB" w14:textId="6C07A6DB" w:rsidR="006879AD" w:rsidRPr="00DA2909" w:rsidRDefault="006879AD" w:rsidP="006879AD">
      <w:pPr>
        <w:rPr>
          <w:b/>
          <w:bCs/>
          <w:sz w:val="24"/>
          <w:szCs w:val="24"/>
        </w:rPr>
      </w:pPr>
      <w:r w:rsidRPr="00DA2909">
        <w:rPr>
          <w:b/>
          <w:bCs/>
          <w:sz w:val="24"/>
          <w:szCs w:val="24"/>
        </w:rPr>
        <w:t xml:space="preserve">Finding 4: </w:t>
      </w:r>
      <w:r w:rsidRPr="00DA2909">
        <w:rPr>
          <w:sz w:val="24"/>
          <w:szCs w:val="24"/>
        </w:rPr>
        <w:t xml:space="preserve">CDC, FDA and Pfizer </w:t>
      </w:r>
      <w:r w:rsidR="00E804FD">
        <w:rPr>
          <w:sz w:val="24"/>
          <w:szCs w:val="24"/>
        </w:rPr>
        <w:t>l</w:t>
      </w:r>
      <w:r w:rsidRPr="00DA2909">
        <w:rPr>
          <w:sz w:val="24"/>
          <w:szCs w:val="24"/>
        </w:rPr>
        <w:t xml:space="preserve">ied </w:t>
      </w:r>
      <w:r w:rsidR="00E804FD">
        <w:rPr>
          <w:sz w:val="24"/>
          <w:szCs w:val="24"/>
        </w:rPr>
        <w:t>a</w:t>
      </w:r>
      <w:r w:rsidRPr="00DA2909">
        <w:rPr>
          <w:sz w:val="24"/>
          <w:szCs w:val="24"/>
        </w:rPr>
        <w:t>bout “</w:t>
      </w:r>
      <w:r w:rsidR="00E804FD">
        <w:rPr>
          <w:sz w:val="24"/>
          <w:szCs w:val="24"/>
        </w:rPr>
        <w:t>v</w:t>
      </w:r>
      <w:r w:rsidRPr="00DA2909">
        <w:rPr>
          <w:sz w:val="24"/>
          <w:szCs w:val="24"/>
        </w:rPr>
        <w:t xml:space="preserve">accine </w:t>
      </w:r>
      <w:r w:rsidR="00E804FD">
        <w:rPr>
          <w:sz w:val="24"/>
          <w:szCs w:val="24"/>
        </w:rPr>
        <w:t>s</w:t>
      </w:r>
      <w:r w:rsidRPr="00DA2909">
        <w:rPr>
          <w:sz w:val="24"/>
          <w:szCs w:val="24"/>
        </w:rPr>
        <w:t xml:space="preserve">taying in the </w:t>
      </w:r>
      <w:r w:rsidR="00E804FD">
        <w:rPr>
          <w:sz w:val="24"/>
          <w:szCs w:val="24"/>
        </w:rPr>
        <w:t>i</w:t>
      </w:r>
      <w:r w:rsidRPr="00DA2909">
        <w:rPr>
          <w:sz w:val="24"/>
          <w:szCs w:val="24"/>
        </w:rPr>
        <w:t xml:space="preserve">njection </w:t>
      </w:r>
      <w:r w:rsidR="00E804FD">
        <w:rPr>
          <w:sz w:val="24"/>
          <w:szCs w:val="24"/>
        </w:rPr>
        <w:t>s</w:t>
      </w:r>
      <w:r w:rsidRPr="00DA2909">
        <w:rPr>
          <w:sz w:val="24"/>
          <w:szCs w:val="24"/>
        </w:rPr>
        <w:t>ite”.</w:t>
      </w:r>
    </w:p>
    <w:p w14:paraId="4D918306" w14:textId="2144FF56" w:rsidR="006879AD" w:rsidRPr="00DA2909" w:rsidRDefault="006879AD" w:rsidP="006879AD">
      <w:pPr>
        <w:rPr>
          <w:b/>
          <w:bCs/>
          <w:sz w:val="24"/>
          <w:szCs w:val="24"/>
        </w:rPr>
      </w:pPr>
      <w:r w:rsidRPr="00DA2909">
        <w:rPr>
          <w:b/>
          <w:bCs/>
          <w:sz w:val="24"/>
          <w:szCs w:val="24"/>
        </w:rPr>
        <w:t xml:space="preserve">Finding 5: </w:t>
      </w:r>
      <w:r w:rsidRPr="00DA2909">
        <w:rPr>
          <w:sz w:val="24"/>
          <w:szCs w:val="24"/>
        </w:rPr>
        <w:t xml:space="preserve">Pfizer </w:t>
      </w:r>
      <w:r w:rsidR="00E804FD">
        <w:rPr>
          <w:sz w:val="24"/>
          <w:szCs w:val="24"/>
        </w:rPr>
        <w:t>s</w:t>
      </w:r>
      <w:r w:rsidRPr="00DA2909">
        <w:rPr>
          <w:sz w:val="24"/>
          <w:szCs w:val="24"/>
        </w:rPr>
        <w:t xml:space="preserve">kipped </w:t>
      </w:r>
      <w:r w:rsidR="00E804FD">
        <w:rPr>
          <w:sz w:val="24"/>
          <w:szCs w:val="24"/>
        </w:rPr>
        <w:t>m</w:t>
      </w:r>
      <w:r w:rsidRPr="00DA2909">
        <w:rPr>
          <w:sz w:val="24"/>
          <w:szCs w:val="24"/>
        </w:rPr>
        <w:t xml:space="preserve">ajor </w:t>
      </w:r>
      <w:r w:rsidR="00E804FD">
        <w:rPr>
          <w:sz w:val="24"/>
          <w:szCs w:val="24"/>
        </w:rPr>
        <w:t>c</w:t>
      </w:r>
      <w:r w:rsidRPr="00DA2909">
        <w:rPr>
          <w:sz w:val="24"/>
          <w:szCs w:val="24"/>
        </w:rPr>
        <w:t xml:space="preserve">ategories of </w:t>
      </w:r>
      <w:r w:rsidR="00E804FD">
        <w:rPr>
          <w:sz w:val="24"/>
          <w:szCs w:val="24"/>
        </w:rPr>
        <w:t>s</w:t>
      </w:r>
      <w:r w:rsidRPr="00DA2909">
        <w:rPr>
          <w:sz w:val="24"/>
          <w:szCs w:val="24"/>
        </w:rPr>
        <w:t xml:space="preserve">afety </w:t>
      </w:r>
      <w:r w:rsidR="00E804FD">
        <w:rPr>
          <w:sz w:val="24"/>
          <w:szCs w:val="24"/>
        </w:rPr>
        <w:t>t</w:t>
      </w:r>
      <w:r w:rsidRPr="00DA2909">
        <w:rPr>
          <w:sz w:val="24"/>
          <w:szCs w:val="24"/>
        </w:rPr>
        <w:t xml:space="preserve">esting </w:t>
      </w:r>
      <w:r w:rsidR="00E804FD">
        <w:rPr>
          <w:sz w:val="24"/>
          <w:szCs w:val="24"/>
        </w:rPr>
        <w:t>a</w:t>
      </w:r>
      <w:r w:rsidRPr="00DA2909">
        <w:rPr>
          <w:sz w:val="24"/>
          <w:szCs w:val="24"/>
        </w:rPr>
        <w:t>ltogether.</w:t>
      </w:r>
    </w:p>
    <w:p w14:paraId="06A8375A" w14:textId="107D3EA5" w:rsidR="00A93F77" w:rsidRPr="00D05359" w:rsidRDefault="00851F56">
      <w:pPr>
        <w:rPr>
          <w:sz w:val="24"/>
          <w:szCs w:val="24"/>
        </w:rPr>
      </w:pPr>
      <w:r w:rsidRPr="00DA2909">
        <w:rPr>
          <w:b/>
          <w:bCs/>
          <w:sz w:val="24"/>
          <w:szCs w:val="24"/>
        </w:rPr>
        <w:t xml:space="preserve">Finding 6: </w:t>
      </w:r>
      <w:r w:rsidRPr="00DA2909">
        <w:rPr>
          <w:sz w:val="24"/>
          <w:szCs w:val="24"/>
        </w:rPr>
        <w:t xml:space="preserve">Pfizer </w:t>
      </w:r>
      <w:r w:rsidR="00E804FD">
        <w:rPr>
          <w:sz w:val="24"/>
          <w:szCs w:val="24"/>
        </w:rPr>
        <w:t>u</w:t>
      </w:r>
      <w:r w:rsidRPr="00DA2909">
        <w:rPr>
          <w:sz w:val="24"/>
          <w:szCs w:val="24"/>
        </w:rPr>
        <w:t xml:space="preserve">sed </w:t>
      </w:r>
      <w:r w:rsidR="00E804FD">
        <w:rPr>
          <w:sz w:val="24"/>
          <w:szCs w:val="24"/>
        </w:rPr>
        <w:t>d</w:t>
      </w:r>
      <w:r w:rsidRPr="00DA2909">
        <w:rPr>
          <w:sz w:val="24"/>
          <w:szCs w:val="24"/>
        </w:rPr>
        <w:t xml:space="preserve">ishonest and </w:t>
      </w:r>
      <w:r w:rsidR="00E804FD">
        <w:rPr>
          <w:sz w:val="24"/>
          <w:szCs w:val="24"/>
        </w:rPr>
        <w:t>s</w:t>
      </w:r>
      <w:r w:rsidRPr="00DA2909">
        <w:rPr>
          <w:sz w:val="24"/>
          <w:szCs w:val="24"/>
        </w:rPr>
        <w:t>elf-</w:t>
      </w:r>
      <w:r w:rsidR="00E804FD">
        <w:rPr>
          <w:sz w:val="24"/>
          <w:szCs w:val="24"/>
        </w:rPr>
        <w:t>s</w:t>
      </w:r>
      <w:r w:rsidRPr="00DA2909">
        <w:rPr>
          <w:sz w:val="24"/>
          <w:szCs w:val="24"/>
        </w:rPr>
        <w:t xml:space="preserve">erving </w:t>
      </w:r>
      <w:r w:rsidR="00E804FD">
        <w:rPr>
          <w:sz w:val="24"/>
          <w:szCs w:val="24"/>
        </w:rPr>
        <w:t>i</w:t>
      </w:r>
      <w:r w:rsidRPr="00DA2909">
        <w:rPr>
          <w:sz w:val="24"/>
          <w:szCs w:val="24"/>
        </w:rPr>
        <w:t xml:space="preserve">nterpretation of </w:t>
      </w:r>
      <w:r w:rsidR="00E804FD">
        <w:rPr>
          <w:sz w:val="24"/>
          <w:szCs w:val="24"/>
        </w:rPr>
        <w:t>r</w:t>
      </w:r>
      <w:r w:rsidRPr="00DA2909">
        <w:rPr>
          <w:sz w:val="24"/>
          <w:szCs w:val="24"/>
        </w:rPr>
        <w:t xml:space="preserve">egulatory </w:t>
      </w:r>
      <w:r w:rsidR="00E804FD">
        <w:rPr>
          <w:sz w:val="24"/>
          <w:szCs w:val="24"/>
        </w:rPr>
        <w:t>g</w:t>
      </w:r>
      <w:r w:rsidRPr="00DA2909">
        <w:rPr>
          <w:sz w:val="24"/>
          <w:szCs w:val="24"/>
        </w:rPr>
        <w:t xml:space="preserve">uidelines to </w:t>
      </w:r>
      <w:r w:rsidR="00C65002">
        <w:rPr>
          <w:sz w:val="24"/>
          <w:szCs w:val="24"/>
        </w:rPr>
        <w:t>avoid routine</w:t>
      </w:r>
      <w:r w:rsidRPr="00DA2909">
        <w:rPr>
          <w:sz w:val="24"/>
          <w:szCs w:val="24"/>
        </w:rPr>
        <w:t xml:space="preserve"> </w:t>
      </w:r>
      <w:r w:rsidR="00C65002">
        <w:rPr>
          <w:sz w:val="24"/>
          <w:szCs w:val="24"/>
        </w:rPr>
        <w:t>s</w:t>
      </w:r>
      <w:r w:rsidRPr="00DA2909">
        <w:rPr>
          <w:sz w:val="24"/>
          <w:szCs w:val="24"/>
        </w:rPr>
        <w:t xml:space="preserve">afety </w:t>
      </w:r>
      <w:r w:rsidR="00C65002">
        <w:rPr>
          <w:sz w:val="24"/>
          <w:szCs w:val="24"/>
        </w:rPr>
        <w:t>t</w:t>
      </w:r>
      <w:r w:rsidRPr="00DA2909">
        <w:rPr>
          <w:sz w:val="24"/>
          <w:szCs w:val="24"/>
        </w:rPr>
        <w:t>esting.</w:t>
      </w:r>
    </w:p>
    <w:p w14:paraId="6BC92DDE" w14:textId="77777777" w:rsidR="00131BBF" w:rsidRDefault="00131BBF"/>
    <w:p w14:paraId="70BF2AC9" w14:textId="3D05E0E6" w:rsidR="00127416" w:rsidRPr="004D248A" w:rsidRDefault="00127416">
      <w:pPr>
        <w:rPr>
          <w:b/>
          <w:bCs/>
          <w:sz w:val="24"/>
          <w:szCs w:val="24"/>
        </w:rPr>
      </w:pPr>
      <w:r w:rsidRPr="004D248A">
        <w:rPr>
          <w:b/>
          <w:bCs/>
          <w:sz w:val="24"/>
          <w:szCs w:val="24"/>
        </w:rPr>
        <w:t>Background:</w:t>
      </w:r>
    </w:p>
    <w:p w14:paraId="5E0E1F9D" w14:textId="44DC061E" w:rsidR="006D70B6" w:rsidRDefault="006D70B6">
      <w:r>
        <w:t xml:space="preserve">Pre-clinical studies are </w:t>
      </w:r>
      <w:r w:rsidR="00447DA0">
        <w:t xml:space="preserve">the initial phase of Pharmaceutical R&amp;D process, </w:t>
      </w:r>
      <w:r>
        <w:t>where a drug</w:t>
      </w:r>
      <w:r w:rsidR="00447DA0">
        <w:t>/biological product</w:t>
      </w:r>
      <w:r>
        <w:t xml:space="preserve"> is tested on cell</w:t>
      </w:r>
      <w:r w:rsidR="00666244">
        <w:t xml:space="preserve"> </w:t>
      </w:r>
      <w:r>
        <w:t>lines, small animals</w:t>
      </w:r>
      <w:r w:rsidR="00447DA0">
        <w:t xml:space="preserve"> (</w:t>
      </w:r>
      <w:r w:rsidR="007027D4">
        <w:t>e.g.,</w:t>
      </w:r>
      <w:r w:rsidR="00447DA0">
        <w:t xml:space="preserve"> mice and rats)</w:t>
      </w:r>
      <w:r>
        <w:t xml:space="preserve">, </w:t>
      </w:r>
      <w:r w:rsidR="00666244">
        <w:t xml:space="preserve">and </w:t>
      </w:r>
      <w:r w:rsidR="00447DA0">
        <w:t>larger animals (</w:t>
      </w:r>
      <w:r w:rsidR="007027D4">
        <w:t>e.g.,</w:t>
      </w:r>
      <w:r w:rsidR="00447DA0">
        <w:t xml:space="preserve"> </w:t>
      </w:r>
      <w:r>
        <w:t>monkeys</w:t>
      </w:r>
      <w:r w:rsidR="00B85303">
        <w:t xml:space="preserve"> or other species</w:t>
      </w:r>
      <w:r w:rsidR="00447DA0">
        <w:t>)</w:t>
      </w:r>
      <w:r>
        <w:t>. The aim of pre-clinical studies is to</w:t>
      </w:r>
      <w:r w:rsidR="00447DA0">
        <w:t xml:space="preserve"> demonstrate Proof-of-Concept and</w:t>
      </w:r>
      <w:r>
        <w:t xml:space="preserve"> </w:t>
      </w:r>
      <w:r w:rsidR="00447DA0">
        <w:t>characterize</w:t>
      </w:r>
      <w:r>
        <w:t xml:space="preserve"> safety and efficacy</w:t>
      </w:r>
      <w:r w:rsidR="00447DA0">
        <w:t xml:space="preserve"> to </w:t>
      </w:r>
      <w:r w:rsidR="007027D4">
        <w:t xml:space="preserve">a </w:t>
      </w:r>
      <w:r w:rsidR="004D248A">
        <w:t>“</w:t>
      </w:r>
      <w:r w:rsidR="00447DA0">
        <w:t>sufficient</w:t>
      </w:r>
      <w:r w:rsidR="004D248A">
        <w:t>”</w:t>
      </w:r>
      <w:r w:rsidR="00447DA0">
        <w:t xml:space="preserve"> level</w:t>
      </w:r>
      <w:r w:rsidR="004D248A">
        <w:t xml:space="preserve">. For traditional vaccines, non-clinical phase is the only phase of development where safety and toxicity are formally assessed.  </w:t>
      </w:r>
      <w:r w:rsidR="00A1246B">
        <w:t>The phases of drug development have been defined for purposes of de-risking the new medicines</w:t>
      </w:r>
      <w:r w:rsidR="00D9006E">
        <w:t>, reducing potential for harm to human subjects,</w:t>
      </w:r>
      <w:r w:rsidR="00A1246B">
        <w:t xml:space="preserve"> and ensuring </w:t>
      </w:r>
      <w:r w:rsidR="00E56085">
        <w:t xml:space="preserve">an </w:t>
      </w:r>
      <w:r w:rsidR="00A1246B">
        <w:t>improve</w:t>
      </w:r>
      <w:r w:rsidR="00E56085">
        <w:t>d</w:t>
      </w:r>
      <w:r w:rsidR="00A1246B">
        <w:t xml:space="preserve"> understanding of </w:t>
      </w:r>
      <w:r w:rsidR="00E56085">
        <w:t xml:space="preserve">its </w:t>
      </w:r>
      <w:r w:rsidR="00A1246B">
        <w:t xml:space="preserve">risk/benefit with every step.  </w:t>
      </w:r>
    </w:p>
    <w:p w14:paraId="20554409" w14:textId="63A076A4" w:rsidR="00805569" w:rsidRDefault="00B036AE">
      <w:r>
        <w:lastRenderedPageBreak/>
        <w:t xml:space="preserve">The </w:t>
      </w:r>
      <w:r w:rsidR="00B841DF">
        <w:t xml:space="preserve">US </w:t>
      </w:r>
      <w:r w:rsidR="000C7946">
        <w:t>Food and Drug Administration (</w:t>
      </w:r>
      <w:r>
        <w:t>FDA</w:t>
      </w:r>
      <w:r w:rsidR="000C7946">
        <w:t>)</w:t>
      </w:r>
      <w:r>
        <w:t xml:space="preserve"> guidelines for different phases of development are described in FDA Guidance for Industry publications</w:t>
      </w:r>
      <w:r w:rsidR="00B841DF">
        <w:rPr>
          <w:rStyle w:val="FootnoteReference"/>
        </w:rPr>
        <w:footnoteReference w:id="1"/>
      </w:r>
      <w:r>
        <w:t xml:space="preserve"> and are harmonized globally via International Conference</w:t>
      </w:r>
      <w:r w:rsidR="00D9006E">
        <w:t xml:space="preserve"> on Harmonization</w:t>
      </w:r>
      <w:r>
        <w:t xml:space="preserve"> (ICH). </w:t>
      </w:r>
      <w:r w:rsidR="003C14AB">
        <w:t xml:space="preserve"> </w:t>
      </w:r>
      <w:r w:rsidR="00E3410B">
        <w:t>Separate sets of guidelines are issued for conventional drugs (small molecules) and biological products, including vaccines</w:t>
      </w:r>
      <w:r w:rsidR="007027D4">
        <w:t xml:space="preserve">. However, </w:t>
      </w:r>
      <w:r w:rsidR="00E3410B">
        <w:t>for more complex platforms, such as drug-device or drug-biologics combinations, both types of guidelines are applicable</w:t>
      </w:r>
      <w:r w:rsidR="00840701">
        <w:t xml:space="preserve"> depending on the finished product composition</w:t>
      </w:r>
      <w:r w:rsidR="00E3410B">
        <w:t xml:space="preserve">.  Since 2013, the FDA has been publishing guidelines that are directed at gene therapy platforms specifically. </w:t>
      </w:r>
    </w:p>
    <w:p w14:paraId="2B937E51" w14:textId="56423FE3" w:rsidR="00E3410B" w:rsidRDefault="00E3410B">
      <w:r>
        <w:t xml:space="preserve">The exact scope of each new medicine’s development program is negotiated in a series of meetings between the manufacturer and the FDA.  In general, the more novel the new drug or biologics entity, the more stringent and extensive </w:t>
      </w:r>
      <w:r w:rsidR="007027D4">
        <w:t xml:space="preserve">the </w:t>
      </w:r>
      <w:r>
        <w:t>test</w:t>
      </w:r>
      <w:r w:rsidR="007E2D40">
        <w:t>ing</w:t>
      </w:r>
      <w:r>
        <w:t xml:space="preserve"> </w:t>
      </w:r>
      <w:r w:rsidR="007027D4">
        <w:t xml:space="preserve">that </w:t>
      </w:r>
      <w:r>
        <w:t>is required</w:t>
      </w:r>
      <w:r w:rsidR="00042F01">
        <w:t xml:space="preserve"> due to lack of well characterized risks and safety data from prior experience with the class or type of product</w:t>
      </w:r>
      <w:r w:rsidR="007E2D40">
        <w:t>.</w:t>
      </w:r>
      <w:r w:rsidR="00042F01">
        <w:t xml:space="preserve"> </w:t>
      </w:r>
      <w:r w:rsidR="007E2D40">
        <w:t>Numerous</w:t>
      </w:r>
      <w:r w:rsidR="00042F01">
        <w:t xml:space="preserve"> unknowns and thus potential for harms in patients</w:t>
      </w:r>
      <w:r w:rsidR="007E2D40">
        <w:t xml:space="preserve"> need to be assessed, risks, if identified must be characterized so that a well-informed risk/benefit assessment can be performed</w:t>
      </w:r>
      <w:r w:rsidR="00042F01">
        <w:t xml:space="preserve">.  </w:t>
      </w:r>
      <w:r w:rsidR="00D66C3C">
        <w:t xml:space="preserve">A drug or a biological product is deemed dangerous until proven safe.  Claiming something is safe purely on theoretical grounds or because “all vaccines are safe” is not scientifically or ethically acceptable.  </w:t>
      </w:r>
      <w:r w:rsidR="007E2D40">
        <w:t xml:space="preserve">In addition, </w:t>
      </w:r>
      <w:r w:rsidR="00D66C3C">
        <w:t xml:space="preserve">it should be noted </w:t>
      </w:r>
      <w:r w:rsidR="00997115">
        <w:t xml:space="preserve">the FDA </w:t>
      </w:r>
      <w:r w:rsidR="007E2D40">
        <w:t xml:space="preserve">has not historically permitted </w:t>
      </w:r>
      <w:r w:rsidR="00997115">
        <w:t>the</w:t>
      </w:r>
      <w:r w:rsidR="007E2D40">
        <w:t xml:space="preserve"> </w:t>
      </w:r>
      <w:r w:rsidR="00997115">
        <w:t xml:space="preserve">testing of </w:t>
      </w:r>
      <w:r w:rsidR="007E2D40">
        <w:t xml:space="preserve">different versions of candidate product under the same IND application. </w:t>
      </w:r>
    </w:p>
    <w:p w14:paraId="0FB3B26F" w14:textId="6979A7D2" w:rsidR="00C51B83" w:rsidRDefault="00EB29D6">
      <w:r>
        <w:t>A</w:t>
      </w:r>
      <w:r w:rsidR="005F4FB3">
        <w:t xml:space="preserve"> well designed non-clinical testing strategy will contain characterization of the product and its components </w:t>
      </w:r>
      <w:r w:rsidR="00AA6670">
        <w:t>in the following general categories of research (not complete list of topics</w:t>
      </w:r>
      <w:r w:rsidR="00D66C3C">
        <w:t>, description of each is provided further in the article</w:t>
      </w:r>
      <w:r w:rsidR="00AA6670">
        <w:t>)</w:t>
      </w:r>
      <w:r w:rsidR="00C51B83">
        <w:t>:</w:t>
      </w:r>
      <w:r w:rsidR="005F4FB3">
        <w:t xml:space="preserve"> </w:t>
      </w:r>
    </w:p>
    <w:p w14:paraId="206179A1" w14:textId="0C7EFBD8" w:rsidR="00C51B83" w:rsidRDefault="005F4FB3" w:rsidP="00C51B83">
      <w:pPr>
        <w:pStyle w:val="ListParagraph"/>
        <w:numPr>
          <w:ilvl w:val="0"/>
          <w:numId w:val="4"/>
        </w:numPr>
      </w:pPr>
      <w:r>
        <w:t>Pharmaco</w:t>
      </w:r>
      <w:r w:rsidR="00C51B83">
        <w:t>k</w:t>
      </w:r>
      <w:r>
        <w:t>inetic</w:t>
      </w:r>
      <w:r w:rsidR="00AA6670">
        <w:t>s</w:t>
      </w:r>
      <w:r>
        <w:t>/Pharmacodynamic</w:t>
      </w:r>
      <w:r w:rsidR="00AA6670">
        <w:t>s</w:t>
      </w:r>
      <w:r w:rsidR="00997115">
        <w:t xml:space="preserve"> (drug distribution and the processing of it by the body)</w:t>
      </w:r>
    </w:p>
    <w:p w14:paraId="1C67B360" w14:textId="2FABBA42" w:rsidR="00C51B83" w:rsidRDefault="00C51B83" w:rsidP="00C51B83">
      <w:pPr>
        <w:pStyle w:val="ListParagraph"/>
        <w:numPr>
          <w:ilvl w:val="0"/>
          <w:numId w:val="4"/>
        </w:numPr>
      </w:pPr>
      <w:r>
        <w:t xml:space="preserve">Pharmacology (mechanism of action), including primary and secondary </w:t>
      </w:r>
      <w:r w:rsidR="00AA6670">
        <w:t xml:space="preserve">(off target) </w:t>
      </w:r>
      <w:r>
        <w:t>effects</w:t>
      </w:r>
    </w:p>
    <w:p w14:paraId="067284AD" w14:textId="6469C8DA" w:rsidR="005F4FB3" w:rsidRDefault="00C51B83" w:rsidP="00C51B83">
      <w:pPr>
        <w:pStyle w:val="ListParagraph"/>
        <w:numPr>
          <w:ilvl w:val="0"/>
          <w:numId w:val="4"/>
        </w:numPr>
      </w:pPr>
      <w:r>
        <w:t xml:space="preserve">Safety Pharmacology and Toxicology, including characterization of </w:t>
      </w:r>
      <w:r w:rsidR="00AA6670">
        <w:t>risks</w:t>
      </w:r>
      <w:r>
        <w:t xml:space="preserve"> for major organ classes (cardiovascular, CNS, hepatic, renal, blood and other organ systems </w:t>
      </w:r>
      <w:r w:rsidR="00EB29D6">
        <w:t>selected based on known or predicted effects of the product class or its components)</w:t>
      </w:r>
    </w:p>
    <w:p w14:paraId="65D40162" w14:textId="1847D892" w:rsidR="00C51B83" w:rsidRDefault="00C51B83" w:rsidP="00C51B83">
      <w:pPr>
        <w:pStyle w:val="ListParagraph"/>
        <w:numPr>
          <w:ilvl w:val="0"/>
          <w:numId w:val="4"/>
        </w:numPr>
      </w:pPr>
      <w:r>
        <w:t>Genotoxicity</w:t>
      </w:r>
      <w:r w:rsidR="00997115">
        <w:t xml:space="preserve"> (proclivity to cause damage to genetic material)</w:t>
      </w:r>
    </w:p>
    <w:p w14:paraId="1616A02B" w14:textId="3915EF5C" w:rsidR="00C51B83" w:rsidRDefault="00C51B83" w:rsidP="00C51B83">
      <w:pPr>
        <w:pStyle w:val="ListParagraph"/>
        <w:numPr>
          <w:ilvl w:val="0"/>
          <w:numId w:val="4"/>
        </w:numPr>
      </w:pPr>
      <w:r>
        <w:t>Carcinogenicity</w:t>
      </w:r>
      <w:r w:rsidR="00997115">
        <w:t xml:space="preserve"> (proclivity to cause cancer)</w:t>
      </w:r>
    </w:p>
    <w:p w14:paraId="6328B0DD" w14:textId="1E50C1A1" w:rsidR="00C51B83" w:rsidRDefault="00C51B83" w:rsidP="00C51B83">
      <w:pPr>
        <w:pStyle w:val="ListParagraph"/>
        <w:numPr>
          <w:ilvl w:val="0"/>
          <w:numId w:val="4"/>
        </w:numPr>
      </w:pPr>
      <w:r>
        <w:t xml:space="preserve">Reproductive Toxicology (before the product can be administered to people of reproductive potential) </w:t>
      </w:r>
    </w:p>
    <w:p w14:paraId="1B20F995" w14:textId="6EA9AE3B" w:rsidR="00AA6670" w:rsidRDefault="00AA6670" w:rsidP="00C51B83">
      <w:pPr>
        <w:pStyle w:val="ListParagraph"/>
        <w:numPr>
          <w:ilvl w:val="0"/>
          <w:numId w:val="4"/>
        </w:numPr>
      </w:pPr>
      <w:r>
        <w:t>Other categories of studies designed to characterize the risk based on previously identified safety signals</w:t>
      </w:r>
    </w:p>
    <w:p w14:paraId="5C4EFEFA" w14:textId="3D1B3BAD" w:rsidR="00EB29D6" w:rsidRDefault="00D9006E">
      <w:r>
        <w:t xml:space="preserve">Further, </w:t>
      </w:r>
      <w:r w:rsidR="000C7946">
        <w:t xml:space="preserve">while global </w:t>
      </w:r>
      <w:r w:rsidR="00215403">
        <w:t>agencies</w:t>
      </w:r>
      <w:r w:rsidR="000C7946">
        <w:t xml:space="preserve"> such as World Health Organization </w:t>
      </w:r>
      <w:r w:rsidR="00392D26">
        <w:t xml:space="preserve">may provide technical or scientific </w:t>
      </w:r>
      <w:r w:rsidR="007E2D40">
        <w:t>opinion</w:t>
      </w:r>
      <w:r w:rsidR="00392D26">
        <w:t xml:space="preserve"> </w:t>
      </w:r>
      <w:r w:rsidR="007E2D40">
        <w:t>via published recommendations,</w:t>
      </w:r>
      <w:r w:rsidR="000C7946">
        <w:t xml:space="preserve"> in the U</w:t>
      </w:r>
      <w:r w:rsidR="00215403">
        <w:t xml:space="preserve">nited </w:t>
      </w:r>
      <w:r w:rsidR="000C7946">
        <w:t>S</w:t>
      </w:r>
      <w:r w:rsidR="00215403">
        <w:t>tates</w:t>
      </w:r>
      <w:r w:rsidR="000C7946">
        <w:t xml:space="preserve"> the sole authority to </w:t>
      </w:r>
      <w:r w:rsidR="000C7946" w:rsidRPr="00530AA2">
        <w:t>regulate</w:t>
      </w:r>
      <w:r w:rsidR="000C7946">
        <w:t xml:space="preserve"> drugs/biologics development and </w:t>
      </w:r>
      <w:r w:rsidR="000C7946" w:rsidRPr="00530AA2">
        <w:t>approve</w:t>
      </w:r>
      <w:r w:rsidR="000C7946">
        <w:t xml:space="preserve"> new products is vested with the FDA.   </w:t>
      </w:r>
    </w:p>
    <w:p w14:paraId="4459A63A" w14:textId="77777777" w:rsidR="00EB29D6" w:rsidRPr="00D70A3E" w:rsidRDefault="00EB29D6"/>
    <w:p w14:paraId="0CB646B3" w14:textId="445BB173" w:rsidR="006D70B6" w:rsidRPr="0040174A" w:rsidRDefault="0057767B">
      <w:pPr>
        <w:rPr>
          <w:b/>
          <w:bCs/>
        </w:rPr>
      </w:pPr>
      <w:r>
        <w:rPr>
          <w:b/>
          <w:bCs/>
        </w:rPr>
        <w:t xml:space="preserve">Pfizer’s Non-Clinical </w:t>
      </w:r>
      <w:r w:rsidR="00530AA2">
        <w:rPr>
          <w:b/>
          <w:bCs/>
        </w:rPr>
        <w:t>Program for Covid-19 mRNA Vaccine</w:t>
      </w:r>
      <w:r w:rsidR="008D0C44">
        <w:rPr>
          <w:b/>
          <w:bCs/>
        </w:rPr>
        <w:t>:</w:t>
      </w:r>
      <w:r w:rsidR="00530AA2">
        <w:rPr>
          <w:b/>
          <w:bCs/>
        </w:rPr>
        <w:t xml:space="preserve"> </w:t>
      </w:r>
    </w:p>
    <w:p w14:paraId="371792E4" w14:textId="05F7DA45" w:rsidR="005C74E8" w:rsidRPr="00D05359" w:rsidRDefault="005F3901">
      <w:r>
        <w:t xml:space="preserve">Recently, some of the documents used by FDA to approve Pfizer’s mRNA platform based Covid-19 Vaccine have been </w:t>
      </w:r>
      <w:r w:rsidR="00671C9A">
        <w:t xml:space="preserve">obtained via Freedom or Information </w:t>
      </w:r>
      <w:r w:rsidR="00E567AF">
        <w:t>lawsuits, overcoming FDA and Pfizer’s motions to keep this information secret for 75 years.</w:t>
      </w:r>
      <w:r>
        <w:t xml:space="preserve"> </w:t>
      </w:r>
      <w:r w:rsidR="00E567AF">
        <w:t xml:space="preserve"> </w:t>
      </w:r>
      <w:r>
        <w:t>One package of these documents, titled “BNT162b2 Module 2.4. Nonclinical Overview” (466 pages) was obtained by Judicial Watch from HHS</w:t>
      </w:r>
      <w:r w:rsidR="00671C9A">
        <w:rPr>
          <w:rStyle w:val="FootnoteReference"/>
        </w:rPr>
        <w:footnoteReference w:id="2"/>
      </w:r>
      <w:r>
        <w:t xml:space="preserve">.  </w:t>
      </w:r>
    </w:p>
    <w:p w14:paraId="5E294E5B" w14:textId="77777777" w:rsidR="00CF6C69" w:rsidRDefault="00CF6C69">
      <w:pPr>
        <w:rPr>
          <w:b/>
          <w:bCs/>
          <w:sz w:val="24"/>
          <w:szCs w:val="24"/>
        </w:rPr>
      </w:pPr>
    </w:p>
    <w:p w14:paraId="0376997F" w14:textId="77777777" w:rsidR="00CF6C69" w:rsidRDefault="00CF6C69">
      <w:pPr>
        <w:rPr>
          <w:b/>
          <w:bCs/>
          <w:sz w:val="24"/>
          <w:szCs w:val="24"/>
        </w:rPr>
      </w:pPr>
    </w:p>
    <w:p w14:paraId="17474251" w14:textId="77777777" w:rsidR="00CF6C69" w:rsidRDefault="00CF6C69">
      <w:pPr>
        <w:rPr>
          <w:b/>
          <w:bCs/>
          <w:sz w:val="24"/>
          <w:szCs w:val="24"/>
        </w:rPr>
      </w:pPr>
    </w:p>
    <w:p w14:paraId="45216E85" w14:textId="77777777" w:rsidR="00CF6C69" w:rsidRDefault="00CF6C69">
      <w:pPr>
        <w:rPr>
          <w:b/>
          <w:bCs/>
          <w:sz w:val="24"/>
          <w:szCs w:val="24"/>
        </w:rPr>
      </w:pPr>
    </w:p>
    <w:p w14:paraId="437E6C42" w14:textId="23C7DACB" w:rsidR="0028289A" w:rsidRPr="00A93F77" w:rsidRDefault="00DA1325">
      <w:pPr>
        <w:rPr>
          <w:b/>
          <w:bCs/>
          <w:sz w:val="24"/>
          <w:szCs w:val="24"/>
        </w:rPr>
      </w:pPr>
      <w:r w:rsidRPr="00A93F77">
        <w:rPr>
          <w:b/>
          <w:bCs/>
          <w:sz w:val="24"/>
          <w:szCs w:val="24"/>
        </w:rPr>
        <w:lastRenderedPageBreak/>
        <w:t xml:space="preserve">Finding 1: Pfizer </w:t>
      </w:r>
      <w:r w:rsidR="001C5BAB">
        <w:rPr>
          <w:b/>
          <w:bCs/>
          <w:sz w:val="24"/>
          <w:szCs w:val="24"/>
        </w:rPr>
        <w:t xml:space="preserve">relied on </w:t>
      </w:r>
      <w:r w:rsidR="009C2591" w:rsidRPr="00A93F77">
        <w:rPr>
          <w:b/>
          <w:bCs/>
          <w:sz w:val="24"/>
          <w:szCs w:val="24"/>
        </w:rPr>
        <w:t>studie</w:t>
      </w:r>
      <w:r w:rsidR="001C5BAB">
        <w:rPr>
          <w:b/>
          <w:bCs/>
          <w:sz w:val="24"/>
          <w:szCs w:val="24"/>
        </w:rPr>
        <w:t>s</w:t>
      </w:r>
      <w:r w:rsidRPr="00A93F77">
        <w:rPr>
          <w:b/>
          <w:bCs/>
          <w:sz w:val="24"/>
          <w:szCs w:val="24"/>
        </w:rPr>
        <w:t xml:space="preserve"> different versions of its product</w:t>
      </w:r>
      <w:r w:rsidR="00443C7A" w:rsidRPr="00A93F77">
        <w:rPr>
          <w:b/>
          <w:bCs/>
          <w:sz w:val="24"/>
          <w:szCs w:val="24"/>
        </w:rPr>
        <w:t xml:space="preserve"> and</w:t>
      </w:r>
      <w:r w:rsidRPr="00A93F77">
        <w:rPr>
          <w:b/>
          <w:bCs/>
          <w:sz w:val="24"/>
          <w:szCs w:val="24"/>
        </w:rPr>
        <w:t xml:space="preserve"> different formulations of the lipid nanoparticle (LNP) delivery platform</w:t>
      </w:r>
      <w:r w:rsidR="00443C7A" w:rsidRPr="00A93F77">
        <w:rPr>
          <w:b/>
          <w:bCs/>
          <w:sz w:val="24"/>
          <w:szCs w:val="24"/>
        </w:rPr>
        <w:t>. The program</w:t>
      </w:r>
      <w:r w:rsidRPr="00A93F77">
        <w:rPr>
          <w:b/>
          <w:bCs/>
          <w:sz w:val="24"/>
          <w:szCs w:val="24"/>
        </w:rPr>
        <w:t xml:space="preserve"> </w:t>
      </w:r>
      <w:r w:rsidR="00443C7A" w:rsidRPr="00A93F77">
        <w:rPr>
          <w:b/>
          <w:bCs/>
          <w:sz w:val="24"/>
          <w:szCs w:val="24"/>
        </w:rPr>
        <w:t>did not</w:t>
      </w:r>
      <w:r w:rsidR="009C2591" w:rsidRPr="00A93F77">
        <w:rPr>
          <w:b/>
          <w:bCs/>
          <w:sz w:val="24"/>
          <w:szCs w:val="24"/>
        </w:rPr>
        <w:t xml:space="preserve"> include </w:t>
      </w:r>
      <w:r w:rsidR="00A93F77">
        <w:rPr>
          <w:b/>
          <w:bCs/>
          <w:sz w:val="24"/>
          <w:szCs w:val="24"/>
        </w:rPr>
        <w:t xml:space="preserve">a </w:t>
      </w:r>
      <w:r w:rsidR="009C2591" w:rsidRPr="00A93F77">
        <w:rPr>
          <w:b/>
          <w:bCs/>
          <w:sz w:val="24"/>
          <w:szCs w:val="24"/>
        </w:rPr>
        <w:t>comprehensive</w:t>
      </w:r>
      <w:r w:rsidR="00443C7A" w:rsidRPr="00A93F77">
        <w:rPr>
          <w:b/>
          <w:bCs/>
          <w:sz w:val="24"/>
          <w:szCs w:val="24"/>
        </w:rPr>
        <w:t xml:space="preserve"> test </w:t>
      </w:r>
      <w:r w:rsidR="009C2591" w:rsidRPr="00A93F77">
        <w:rPr>
          <w:b/>
          <w:bCs/>
          <w:sz w:val="24"/>
          <w:szCs w:val="24"/>
        </w:rPr>
        <w:t xml:space="preserve">of </w:t>
      </w:r>
      <w:r w:rsidR="00443C7A" w:rsidRPr="00A93F77">
        <w:rPr>
          <w:b/>
          <w:bCs/>
          <w:sz w:val="24"/>
          <w:szCs w:val="24"/>
        </w:rPr>
        <w:t>all components of the final product</w:t>
      </w:r>
      <w:r w:rsidR="005A5111" w:rsidRPr="00A93F77">
        <w:rPr>
          <w:b/>
          <w:bCs/>
          <w:sz w:val="24"/>
          <w:szCs w:val="24"/>
        </w:rPr>
        <w:t xml:space="preserve">. </w:t>
      </w:r>
    </w:p>
    <w:p w14:paraId="1D2FF83D" w14:textId="15B7ABB7" w:rsidR="002F64FA" w:rsidRPr="002F64FA" w:rsidRDefault="007C5A6E">
      <w:r>
        <w:rPr>
          <w:noProof/>
        </w:rPr>
        <mc:AlternateContent>
          <mc:Choice Requires="wps">
            <w:drawing>
              <wp:anchor distT="0" distB="0" distL="114300" distR="114300" simplePos="0" relativeHeight="251662336" behindDoc="0" locked="0" layoutInCell="1" allowOverlap="1" wp14:anchorId="6D2DC9EE" wp14:editId="21D0AEC5">
                <wp:simplePos x="0" y="0"/>
                <wp:positionH relativeFrom="column">
                  <wp:posOffset>-104775</wp:posOffset>
                </wp:positionH>
                <wp:positionV relativeFrom="paragraph">
                  <wp:posOffset>252413</wp:posOffset>
                </wp:positionV>
                <wp:extent cx="6781800" cy="1538287"/>
                <wp:effectExtent l="0" t="0" r="19050" b="24130"/>
                <wp:wrapNone/>
                <wp:docPr id="13" name="Rectangle 13"/>
                <wp:cNvGraphicFramePr/>
                <a:graphic xmlns:a="http://schemas.openxmlformats.org/drawingml/2006/main">
                  <a:graphicData uri="http://schemas.microsoft.com/office/word/2010/wordprocessingShape">
                    <wps:wsp>
                      <wps:cNvSpPr/>
                      <wps:spPr>
                        <a:xfrm>
                          <a:off x="0" y="0"/>
                          <a:ext cx="6781800" cy="1538287"/>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C731CC7" id="Rectangle 13" o:spid="_x0000_s1026" style="position:absolute;margin-left:-8.25pt;margin-top:19.9pt;width:534pt;height:121.1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" filled="f" strokecolor="red" strokeweight="1pt"/>
            </w:pict>
          </mc:Fallback>
        </mc:AlternateContent>
      </w:r>
      <w:r w:rsidR="004C58CE">
        <w:t xml:space="preserve">On p. 6 </w:t>
      </w:r>
      <w:r w:rsidR="002F64FA">
        <w:t>Pfizer documents state that (emphasis added):</w:t>
      </w:r>
    </w:p>
    <w:p w14:paraId="058C99A3" w14:textId="4581BCAC" w:rsidR="0028289A" w:rsidRPr="002F64FA" w:rsidRDefault="0028289A">
      <w:pPr>
        <w:rPr>
          <w:b/>
          <w:bCs/>
          <w:i/>
          <w:iCs/>
        </w:rPr>
      </w:pPr>
      <w:r w:rsidRPr="0028289A">
        <w:rPr>
          <w:i/>
          <w:iCs/>
        </w:rPr>
        <w:t xml:space="preserve">BNT162b2 (BioNTech code number BNT162, Pfizer code number PF-07302048) is </w:t>
      </w:r>
      <w:r w:rsidRPr="004635D6">
        <w:rPr>
          <w:i/>
          <w:iCs/>
        </w:rPr>
        <w:t xml:space="preserve">an investigational vaccine intended to prevent COVID-19, which is caused by SARS-CoV-2. </w:t>
      </w:r>
      <w:r w:rsidRPr="001D2DF9">
        <w:rPr>
          <w:b/>
          <w:bCs/>
          <w:i/>
          <w:iCs/>
        </w:rPr>
        <w:t>BNT162b2 is a nucleoside modified mRNA (modRNA) expressing full-length S with two proline mutations (P2) to lock the transmembrane protein in an antigenically optimal prefusion conformation</w:t>
      </w:r>
      <w:r w:rsidRPr="0028289A">
        <w:rPr>
          <w:i/>
          <w:iCs/>
        </w:rPr>
        <w:t xml:space="preserve"> (</w:t>
      </w:r>
      <w:proofErr w:type="spellStart"/>
      <w:r w:rsidRPr="0028289A">
        <w:rPr>
          <w:i/>
          <w:iCs/>
        </w:rPr>
        <w:t>Pallesen</w:t>
      </w:r>
      <w:proofErr w:type="spellEnd"/>
      <w:r w:rsidRPr="0028289A">
        <w:rPr>
          <w:i/>
          <w:iCs/>
        </w:rPr>
        <w:t xml:space="preserve"> et al, 2017; </w:t>
      </w:r>
      <w:proofErr w:type="spellStart"/>
      <w:r w:rsidRPr="0028289A">
        <w:rPr>
          <w:i/>
          <w:iCs/>
        </w:rPr>
        <w:t>Wrapp</w:t>
      </w:r>
      <w:proofErr w:type="spellEnd"/>
      <w:r w:rsidRPr="0028289A">
        <w:rPr>
          <w:i/>
          <w:iCs/>
        </w:rPr>
        <w:t xml:space="preserve"> et al, 2020). The vaccine is formulated in lipid nanoparticles (LNPs). The LNP is composed </w:t>
      </w:r>
      <w:r w:rsidRPr="002F64FA">
        <w:rPr>
          <w:b/>
          <w:bCs/>
          <w:i/>
          <w:iCs/>
        </w:rPr>
        <w:t>of 4 lipids: ALC-0315, ALC-0159, DSPC, and cholesterol</w:t>
      </w:r>
      <w:r w:rsidRPr="0028289A">
        <w:rPr>
          <w:i/>
          <w:iCs/>
        </w:rPr>
        <w:t xml:space="preserve">. Other excipients in the formulation include sucrose, NaCl, </w:t>
      </w:r>
      <w:proofErr w:type="spellStart"/>
      <w:r w:rsidRPr="0028289A">
        <w:rPr>
          <w:i/>
          <w:iCs/>
        </w:rPr>
        <w:t>KCl</w:t>
      </w:r>
      <w:proofErr w:type="spellEnd"/>
      <w:r w:rsidRPr="0028289A">
        <w:rPr>
          <w:i/>
          <w:iCs/>
        </w:rPr>
        <w:t xml:space="preserve">, Na2HPO4, and KH2PO4. </w:t>
      </w:r>
      <w:r w:rsidRPr="002F64FA">
        <w:rPr>
          <w:b/>
          <w:bCs/>
          <w:i/>
          <w:iCs/>
        </w:rPr>
        <w:t>The dose selected for BNT162b2, with efficacy demonstrated in Phase 2/3 clinical evaluation and intended for commercial use, is 30 µg administered IM as two doses given 21 days apart.</w:t>
      </w:r>
    </w:p>
    <w:p w14:paraId="25E42719" w14:textId="498EC52F" w:rsidR="00403BDF" w:rsidRDefault="001D2DF9">
      <w:r>
        <w:t xml:space="preserve">It is clear from the description of the product that this </w:t>
      </w:r>
      <w:r w:rsidR="00EB29D6">
        <w:t>completely novel</w:t>
      </w:r>
      <w:r>
        <w:t xml:space="preserve"> platform consists of new</w:t>
      </w:r>
      <w:r w:rsidR="00A62516">
        <w:t xml:space="preserve"> proprietary</w:t>
      </w:r>
      <w:r>
        <w:t xml:space="preserve"> biological, genetic, and chemical components</w:t>
      </w:r>
      <w:r w:rsidR="00425249">
        <w:t xml:space="preserve"> comprising a “payload + delivery vehicle” structure</w:t>
      </w:r>
      <w:r>
        <w:t>.  In situations where complex products containing</w:t>
      </w:r>
      <w:r w:rsidR="00677820">
        <w:t xml:space="preserve"> </w:t>
      </w:r>
      <w:r>
        <w:t xml:space="preserve">combinations of drugs and biologics, or biologics and novel delivery vehicles (such as Pfizer product), the manufacturer is required to assess safety of </w:t>
      </w:r>
      <w:r w:rsidRPr="009208E1">
        <w:rPr>
          <w:i/>
          <w:iCs/>
        </w:rPr>
        <w:t>all components</w:t>
      </w:r>
      <w:r>
        <w:t xml:space="preserve"> separately and in the final assembled version which is intended for human phases of development.</w:t>
      </w:r>
      <w:r w:rsidR="0085240A">
        <w:rPr>
          <w:rStyle w:val="FootnoteReference"/>
        </w:rPr>
        <w:footnoteReference w:id="3"/>
      </w:r>
      <w:r>
        <w:t xml:space="preserve">  </w:t>
      </w:r>
    </w:p>
    <w:p w14:paraId="1B59F016" w14:textId="53E2264C" w:rsidR="004B2176" w:rsidRDefault="003E2A0F">
      <w:r>
        <w:t>Pfizer’s</w:t>
      </w:r>
      <w:r w:rsidR="005D1349">
        <w:t xml:space="preserve"> document further explains that several versions of the product were tested</w:t>
      </w:r>
      <w:r w:rsidR="008973C0">
        <w:t xml:space="preserve"> preclinically</w:t>
      </w:r>
      <w:r w:rsidR="005D1349">
        <w:t xml:space="preserve">, and one selected to be studied in clinical trials, and that specific vaccine candidate </w:t>
      </w:r>
      <w:r w:rsidR="005D1349" w:rsidRPr="00677820">
        <w:rPr>
          <w:b/>
          <w:bCs/>
        </w:rPr>
        <w:t>BNT162b2 V9</w:t>
      </w:r>
      <w:r w:rsidR="005D1349">
        <w:t xml:space="preserve"> is therefore the subject of the Biologics License Application (BLA), i.e. the product that was ultimately fully licensed for market by the FDA in 2021:</w:t>
      </w:r>
    </w:p>
    <w:p w14:paraId="68104856" w14:textId="22F2CF28" w:rsidR="005D1349" w:rsidRDefault="004C58CE">
      <w:r>
        <w:rPr>
          <w:noProof/>
        </w:rPr>
        <mc:AlternateContent>
          <mc:Choice Requires="wps">
            <w:drawing>
              <wp:anchor distT="0" distB="0" distL="114300" distR="114300" simplePos="0" relativeHeight="251661312" behindDoc="0" locked="0" layoutInCell="1" allowOverlap="1" wp14:anchorId="5801EFA5" wp14:editId="67767D87">
                <wp:simplePos x="0" y="0"/>
                <wp:positionH relativeFrom="column">
                  <wp:posOffset>4763</wp:posOffset>
                </wp:positionH>
                <wp:positionV relativeFrom="paragraph">
                  <wp:posOffset>40005</wp:posOffset>
                </wp:positionV>
                <wp:extent cx="6610350" cy="3238500"/>
                <wp:effectExtent l="0" t="0" r="19050" b="19050"/>
                <wp:wrapNone/>
                <wp:docPr id="12" name="Rectangle 12"/>
                <wp:cNvGraphicFramePr/>
                <a:graphic xmlns:a="http://schemas.openxmlformats.org/drawingml/2006/main">
                  <a:graphicData uri="http://schemas.microsoft.com/office/word/2010/wordprocessingShape">
                    <wps:wsp>
                      <wps:cNvSpPr/>
                      <wps:spPr>
                        <a:xfrm>
                          <a:off x="0" y="0"/>
                          <a:ext cx="6610350" cy="32385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3E3F93C" id="Rectangle 12" o:spid="_x0000_s1026" style="position:absolute;margin-left:.4pt;margin-top:3.15pt;width:520.5pt;height:25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" filled="f" strokecolor="red" strokeweight="1pt"/>
            </w:pict>
          </mc:Fallback>
        </mc:AlternateContent>
      </w:r>
      <w:r w:rsidR="005D1349">
        <w:rPr>
          <w:noProof/>
        </w:rPr>
        <mc:AlternateContent>
          <mc:Choice Requires="wpi">
            <w:drawing>
              <wp:anchor distT="0" distB="0" distL="114300" distR="114300" simplePos="0" relativeHeight="251660288" behindDoc="0" locked="0" layoutInCell="1" allowOverlap="1" wp14:anchorId="1337DF40" wp14:editId="1D49DFB8">
                <wp:simplePos x="0" y="0"/>
                <wp:positionH relativeFrom="column">
                  <wp:posOffset>104895</wp:posOffset>
                </wp:positionH>
                <wp:positionV relativeFrom="paragraph">
                  <wp:posOffset>835860</wp:posOffset>
                </wp:positionV>
                <wp:extent cx="5789160" cy="114840"/>
                <wp:effectExtent l="76200" t="114300" r="59690" b="133350"/>
                <wp:wrapNone/>
                <wp:docPr id="11" name="Ink 11"/>
                <wp:cNvGraphicFramePr/>
                <a:graphic xmlns:a="http://schemas.openxmlformats.org/drawingml/2006/main">
                  <a:graphicData uri="http://schemas.microsoft.com/office/word/2010/wordprocessingInk">
                    <w14:contentPart bwMode="auto" r:id="rId8">
                      <w14:nvContentPartPr>
                        <w14:cNvContentPartPr/>
                      </w14:nvContentPartPr>
                      <w14:xfrm>
                        <a:off x="0" y="0"/>
                        <a:ext cx="5789160" cy="114840"/>
                      </w14:xfrm>
                    </w14:contentPart>
                  </a:graphicData>
                </a:graphic>
              </wp:anchor>
            </w:drawing>
          </mc:Choice>
          <mc:Fallback>
            <w:pict>
              <v:shapetype w14:anchorId="201520D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1" o:spid="_x0000_s1026" type="#_x0000_t75" style="position:absolute;margin-left:5.4pt;margin-top:60.15pt;width:461.55pt;height:20.4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">
                <v:imagedata r:id="rId9" o:title=""/>
              </v:shape>
            </w:pict>
          </mc:Fallback>
        </mc:AlternateContent>
      </w:r>
      <w:r w:rsidR="005D1349">
        <w:rPr>
          <w:noProof/>
        </w:rPr>
        <mc:AlternateContent>
          <mc:Choice Requires="wpi">
            <w:drawing>
              <wp:anchor distT="0" distB="0" distL="114300" distR="114300" simplePos="0" relativeHeight="251659264" behindDoc="0" locked="0" layoutInCell="1" allowOverlap="1" wp14:anchorId="3C069E78" wp14:editId="3D46489B">
                <wp:simplePos x="0" y="0"/>
                <wp:positionH relativeFrom="column">
                  <wp:posOffset>3333735</wp:posOffset>
                </wp:positionH>
                <wp:positionV relativeFrom="paragraph">
                  <wp:posOffset>702300</wp:posOffset>
                </wp:positionV>
                <wp:extent cx="2843280" cy="20520"/>
                <wp:effectExtent l="76200" t="95250" r="90805" b="132080"/>
                <wp:wrapNone/>
                <wp:docPr id="7" name="Ink 7"/>
                <wp:cNvGraphicFramePr/>
                <a:graphic xmlns:a="http://schemas.openxmlformats.org/drawingml/2006/main">
                  <a:graphicData uri="http://schemas.microsoft.com/office/word/2010/wordprocessingInk">
                    <w14:contentPart bwMode="auto" r:id="rId10">
                      <w14:nvContentPartPr>
                        <w14:cNvContentPartPr/>
                      </w14:nvContentPartPr>
                      <w14:xfrm>
                        <a:off x="0" y="0"/>
                        <a:ext cx="2843280" cy="20520"/>
                      </w14:xfrm>
                    </w14:contentPart>
                  </a:graphicData>
                </a:graphic>
              </wp:anchor>
            </w:drawing>
          </mc:Choice>
          <mc:Fallback>
            <w:pict>
              <v:shape w14:anchorId="13D41821" id="Ink 7" o:spid="_x0000_s1026" type="#_x0000_t75" style="position:absolute;margin-left:259.65pt;margin-top:49.65pt;width:229.55pt;height:12.9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">
                <v:imagedata r:id="rId11" o:title=""/>
              </v:shape>
            </w:pict>
          </mc:Fallback>
        </mc:AlternateContent>
      </w:r>
      <w:r w:rsidR="005D1349" w:rsidRPr="005D1349">
        <w:rPr>
          <w:noProof/>
        </w:rPr>
        <w:drawing>
          <wp:inline distT="0" distB="0" distL="0" distR="0" wp14:anchorId="72D34125" wp14:editId="63F7BD54">
            <wp:extent cx="6645910" cy="3276600"/>
            <wp:effectExtent l="0" t="0" r="2540" b="0"/>
            <wp:docPr id="2" name="Picture 2" descr="Tabl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able&#10;&#10;Description automatically generated with low confidence"/>
                    <pic:cNvPicPr/>
                  </pic:nvPicPr>
                  <pic:blipFill>
                    <a:blip r:embed="rId12"/>
                    <a:stretch>
                      <a:fillRect/>
                    </a:stretch>
                  </pic:blipFill>
                  <pic:spPr>
                    <a:xfrm>
                      <a:off x="0" y="0"/>
                      <a:ext cx="6645910" cy="3276600"/>
                    </a:xfrm>
                    <a:prstGeom prst="rect">
                      <a:avLst/>
                    </a:prstGeom>
                  </pic:spPr>
                </pic:pic>
              </a:graphicData>
            </a:graphic>
          </wp:inline>
        </w:drawing>
      </w:r>
    </w:p>
    <w:p w14:paraId="1613DBB6" w14:textId="5DEC1660" w:rsidR="004C58CE" w:rsidRDefault="004C58CE"/>
    <w:p w14:paraId="63FA0633" w14:textId="368D151E" w:rsidR="00465972" w:rsidRPr="00DA1325" w:rsidRDefault="00465972">
      <w:r>
        <w:t>Note that w</w:t>
      </w:r>
      <w:r w:rsidR="008973C0">
        <w:t xml:space="preserve">hile multiple versions of a product in early stages of development are </w:t>
      </w:r>
      <w:r w:rsidR="00D00433">
        <w:t>often</w:t>
      </w:r>
      <w:r w:rsidR="008973C0">
        <w:t xml:space="preserve"> inevitable, for the purpose of </w:t>
      </w:r>
      <w:r>
        <w:t xml:space="preserve">product </w:t>
      </w:r>
      <w:r w:rsidR="008973C0">
        <w:t xml:space="preserve">approval, each chemical or biological entity is deemed legally distinct, and therefore studies conducted with versions of the product that are not the exact specification of the final approved product may provide supporting information but should not be deemed definitive tests for </w:t>
      </w:r>
      <w:r>
        <w:t xml:space="preserve">the </w:t>
      </w:r>
      <w:r w:rsidR="008973C0">
        <w:t xml:space="preserve">safety or efficacy claims.  </w:t>
      </w:r>
    </w:p>
    <w:p w14:paraId="67667C43" w14:textId="507404B4" w:rsidR="00AF187D" w:rsidRDefault="000572F5">
      <w:r>
        <w:t xml:space="preserve">Pfizer states that the primary pharmacology, distribution, metabolism, safety, and immunogenicity of BNT162b2 were studied in-vitro and in-vivo </w:t>
      </w:r>
      <w:r w:rsidR="004C58CE">
        <w:t xml:space="preserve">in mice, rats and rhesus monkeys as well as several cell-culture assay experiments.  </w:t>
      </w:r>
      <w:r w:rsidR="00027BB7">
        <w:lastRenderedPageBreak/>
        <w:t xml:space="preserve">There </w:t>
      </w:r>
      <w:r w:rsidR="00E76B28">
        <w:t>was</w:t>
      </w:r>
      <w:r w:rsidR="00027BB7">
        <w:t xml:space="preserve"> a total of </w:t>
      </w:r>
      <w:r w:rsidR="00E76B28">
        <w:t>18 studies included in the Non-Clinical package, of which 7 were for the V9 candidate (including 1 non-GLP</w:t>
      </w:r>
      <w:r w:rsidR="00F5469F">
        <w:rPr>
          <w:rStyle w:val="FootnoteReference"/>
        </w:rPr>
        <w:footnoteReference w:id="4"/>
      </w:r>
      <w:r w:rsidR="00E76B28">
        <w:t xml:space="preserve"> study which should not be acceptable for labelling), and 6 studies were for only </w:t>
      </w:r>
      <w:r w:rsidR="007D02FE">
        <w:t>two</w:t>
      </w:r>
      <w:r w:rsidR="00E76B28">
        <w:t xml:space="preserve"> of the </w:t>
      </w:r>
      <w:r w:rsidR="007D02FE">
        <w:t>four</w:t>
      </w:r>
      <w:r w:rsidR="00E76B28">
        <w:t xml:space="preserve"> lipid excipients (ALC-0315 and ALC-0159). The other lipids included in the Lipid Nanoparticle Platform (LNP)</w:t>
      </w:r>
      <w:r w:rsidR="00AF187D">
        <w:t xml:space="preserve"> – DSPC and cholesterol</w:t>
      </w:r>
      <w:r w:rsidR="00E76B28">
        <w:t xml:space="preserve"> were not studied.  </w:t>
      </w:r>
      <w:r w:rsidR="0087452F">
        <w:t>Of the 6 studies of the lipid excipients, 4 were for lipid formulations “comparable to LNP in BNT162b2”</w:t>
      </w:r>
      <w:r w:rsidR="00F5469F">
        <w:t xml:space="preserve"> and 2 of the studies were non-GLP</w:t>
      </w:r>
      <w:r w:rsidR="0087452F">
        <w:t xml:space="preserve">.  It is not explained anywhere in the document how these formulations differed from the final formulation of the LNP included into the approved product, and how their comparability was determined, other than Pfizer’s assertion that they were comparable. </w:t>
      </w:r>
    </w:p>
    <w:p w14:paraId="681857D0" w14:textId="337E9321" w:rsidR="00412176" w:rsidRDefault="00AF187D">
      <w:r w:rsidRPr="009208E1">
        <w:rPr>
          <w:i/>
          <w:iCs/>
        </w:rPr>
        <w:t>Therefore, only 9</w:t>
      </w:r>
      <w:r w:rsidR="00E03AD5" w:rsidRPr="009208E1">
        <w:rPr>
          <w:i/>
          <w:iCs/>
        </w:rPr>
        <w:t xml:space="preserve"> of the 18</w:t>
      </w:r>
      <w:r w:rsidRPr="009208E1">
        <w:rPr>
          <w:i/>
          <w:iCs/>
        </w:rPr>
        <w:t xml:space="preserve"> studies in this package are </w:t>
      </w:r>
      <w:r w:rsidR="00F5469F" w:rsidRPr="009208E1">
        <w:rPr>
          <w:i/>
          <w:iCs/>
        </w:rPr>
        <w:t xml:space="preserve">directly </w:t>
      </w:r>
      <w:r w:rsidRPr="009208E1">
        <w:rPr>
          <w:i/>
          <w:iCs/>
        </w:rPr>
        <w:t xml:space="preserve">related to </w:t>
      </w:r>
      <w:r w:rsidR="00E03AD5" w:rsidRPr="009208E1">
        <w:rPr>
          <w:i/>
          <w:iCs/>
        </w:rPr>
        <w:t>the licensed product and</w:t>
      </w:r>
      <w:r w:rsidR="00F5469F" w:rsidRPr="009208E1">
        <w:rPr>
          <w:i/>
          <w:iCs/>
        </w:rPr>
        <w:t xml:space="preserve"> to</w:t>
      </w:r>
      <w:r w:rsidR="00E03AD5" w:rsidRPr="009208E1">
        <w:rPr>
          <w:i/>
          <w:iCs/>
        </w:rPr>
        <w:t xml:space="preserve"> only </w:t>
      </w:r>
      <w:r w:rsidR="006A0B5D" w:rsidRPr="009208E1">
        <w:rPr>
          <w:i/>
          <w:iCs/>
          <w:u w:val="single"/>
        </w:rPr>
        <w:t>some</w:t>
      </w:r>
      <w:r w:rsidRPr="009208E1">
        <w:rPr>
          <w:i/>
          <w:iCs/>
        </w:rPr>
        <w:t xml:space="preserve"> of the </w:t>
      </w:r>
      <w:r w:rsidR="00794CBB" w:rsidRPr="009208E1">
        <w:rPr>
          <w:i/>
          <w:iCs/>
        </w:rPr>
        <w:t>components of the final product</w:t>
      </w:r>
      <w:r w:rsidR="00794CBB">
        <w:t xml:space="preserve">.  </w:t>
      </w:r>
      <w:r w:rsidR="00954B58">
        <w:t xml:space="preserve">  </w:t>
      </w:r>
    </w:p>
    <w:p w14:paraId="19DF2AD0" w14:textId="11576CAA" w:rsidR="00643028" w:rsidRDefault="00643028">
      <w:r>
        <w:t>Also</w:t>
      </w:r>
      <w:r w:rsidR="00A925C1">
        <w:t>,</w:t>
      </w:r>
      <w:r>
        <w:t xml:space="preserve"> of note – despite the statement in the Non-Clinical package that version 9 of BNT162b2 is the final vaccine candidate product, in the Clinical Phase I/II Pfizer studied a different product – BNT162b1</w:t>
      </w:r>
      <w:r>
        <w:rPr>
          <w:rStyle w:val="FootnoteReference"/>
        </w:rPr>
        <w:footnoteReference w:id="5"/>
      </w:r>
      <w:r>
        <w:t xml:space="preserve">.  No explanation is available </w:t>
      </w:r>
      <w:r w:rsidR="00A925C1">
        <w:t xml:space="preserve">on </w:t>
      </w:r>
      <w:r>
        <w:t>what differences exist between these two variants</w:t>
      </w:r>
      <w:r w:rsidR="00A925C1">
        <w:t>,</w:t>
      </w:r>
      <w:r>
        <w:t xml:space="preserve"> and no comparability studies have been included in either Non-Clinical or Clinical regulatory package.</w:t>
      </w:r>
    </w:p>
    <w:p w14:paraId="5EFB7DE6" w14:textId="77777777" w:rsidR="00412176" w:rsidRDefault="00412176"/>
    <w:p w14:paraId="4E438E04" w14:textId="6F918107" w:rsidR="00E0069D" w:rsidRPr="00E0069D" w:rsidRDefault="00412176">
      <w:pPr>
        <w:rPr>
          <w:b/>
          <w:bCs/>
          <w:sz w:val="24"/>
          <w:szCs w:val="24"/>
        </w:rPr>
      </w:pPr>
      <w:r>
        <w:rPr>
          <w:b/>
          <w:bCs/>
          <w:sz w:val="24"/>
          <w:szCs w:val="24"/>
        </w:rPr>
        <w:t xml:space="preserve">Finding 2: </w:t>
      </w:r>
      <w:r w:rsidR="00833374">
        <w:rPr>
          <w:b/>
          <w:bCs/>
          <w:sz w:val="24"/>
          <w:szCs w:val="24"/>
        </w:rPr>
        <w:t xml:space="preserve">The </w:t>
      </w:r>
      <w:r w:rsidR="0061558C">
        <w:rPr>
          <w:b/>
          <w:bCs/>
          <w:sz w:val="24"/>
          <w:szCs w:val="24"/>
        </w:rPr>
        <w:t>s</w:t>
      </w:r>
      <w:r w:rsidR="001C5BAB">
        <w:rPr>
          <w:b/>
          <w:bCs/>
          <w:sz w:val="24"/>
          <w:szCs w:val="24"/>
        </w:rPr>
        <w:t>afety</w:t>
      </w:r>
      <w:r w:rsidR="00833374">
        <w:rPr>
          <w:b/>
          <w:bCs/>
          <w:sz w:val="24"/>
          <w:szCs w:val="24"/>
        </w:rPr>
        <w:t xml:space="preserve"> of the </w:t>
      </w:r>
      <w:r w:rsidR="0061558C">
        <w:rPr>
          <w:b/>
          <w:bCs/>
          <w:sz w:val="24"/>
          <w:szCs w:val="24"/>
        </w:rPr>
        <w:t>v</w:t>
      </w:r>
      <w:r w:rsidR="008D0C44">
        <w:rPr>
          <w:b/>
          <w:bCs/>
          <w:sz w:val="24"/>
          <w:szCs w:val="24"/>
        </w:rPr>
        <w:t xml:space="preserve">accine’s </w:t>
      </w:r>
      <w:r w:rsidR="00EF3CC5">
        <w:rPr>
          <w:b/>
          <w:bCs/>
          <w:sz w:val="24"/>
          <w:szCs w:val="24"/>
        </w:rPr>
        <w:t xml:space="preserve">mRNA </w:t>
      </w:r>
      <w:r w:rsidR="0061558C">
        <w:rPr>
          <w:b/>
          <w:bCs/>
          <w:sz w:val="24"/>
          <w:szCs w:val="24"/>
        </w:rPr>
        <w:t>a</w:t>
      </w:r>
      <w:r w:rsidR="00833374">
        <w:rPr>
          <w:b/>
          <w:bCs/>
          <w:sz w:val="24"/>
          <w:szCs w:val="24"/>
        </w:rPr>
        <w:t xml:space="preserve">ctive </w:t>
      </w:r>
      <w:r w:rsidR="0061558C">
        <w:rPr>
          <w:b/>
          <w:bCs/>
          <w:sz w:val="24"/>
          <w:szCs w:val="24"/>
        </w:rPr>
        <w:t>i</w:t>
      </w:r>
      <w:r w:rsidR="00833374">
        <w:rPr>
          <w:b/>
          <w:bCs/>
          <w:sz w:val="24"/>
          <w:szCs w:val="24"/>
        </w:rPr>
        <w:t xml:space="preserve">ngredient </w:t>
      </w:r>
      <w:r w:rsidR="0061558C">
        <w:rPr>
          <w:b/>
          <w:bCs/>
          <w:sz w:val="24"/>
          <w:szCs w:val="24"/>
        </w:rPr>
        <w:t>w</w:t>
      </w:r>
      <w:r w:rsidR="00833374">
        <w:rPr>
          <w:b/>
          <w:bCs/>
          <w:sz w:val="24"/>
          <w:szCs w:val="24"/>
        </w:rPr>
        <w:t xml:space="preserve">as </w:t>
      </w:r>
      <w:r w:rsidR="0061558C">
        <w:rPr>
          <w:b/>
          <w:bCs/>
          <w:sz w:val="24"/>
          <w:szCs w:val="24"/>
        </w:rPr>
        <w:t>n</w:t>
      </w:r>
      <w:r w:rsidR="00833374">
        <w:rPr>
          <w:b/>
          <w:bCs/>
          <w:sz w:val="24"/>
          <w:szCs w:val="24"/>
        </w:rPr>
        <w:t xml:space="preserve">ever </w:t>
      </w:r>
      <w:r w:rsidR="0061558C">
        <w:rPr>
          <w:b/>
          <w:bCs/>
          <w:sz w:val="24"/>
          <w:szCs w:val="24"/>
        </w:rPr>
        <w:t>s</w:t>
      </w:r>
      <w:r w:rsidR="00833374">
        <w:rPr>
          <w:b/>
          <w:bCs/>
          <w:sz w:val="24"/>
          <w:szCs w:val="24"/>
        </w:rPr>
        <w:t>tudied!</w:t>
      </w:r>
    </w:p>
    <w:p w14:paraId="08BC9495" w14:textId="78E1A3C2" w:rsidR="00C62868" w:rsidRDefault="00DC4C05" w:rsidP="00DC4C05">
      <w:r>
        <w:t>In the studies designed to test whether the vaccine remains near the injection site or travels throughout the body, Pfizer did not even use the commercial vaccine (BNT162b2) but instead</w:t>
      </w:r>
      <w:r w:rsidR="00833374">
        <w:t>,</w:t>
      </w:r>
      <w:r w:rsidR="00142462">
        <w:t xml:space="preserve"> studied biodistribution by administering “modRNA encoding </w:t>
      </w:r>
      <w:r w:rsidR="00142462" w:rsidRPr="009F0E45">
        <w:t>luciferase</w:t>
      </w:r>
      <w:r w:rsidR="00142462">
        <w:t xml:space="preserve"> formulated in LNP comparable to BNT162b2 with trace amounts of [3H]-CHE as </w:t>
      </w:r>
      <w:proofErr w:type="spellStart"/>
      <w:r w:rsidR="00142462">
        <w:t>nondiffusible</w:t>
      </w:r>
      <w:proofErr w:type="spellEnd"/>
      <w:r w:rsidR="00142462">
        <w:t xml:space="preserve"> label”</w:t>
      </w:r>
      <w:r w:rsidR="00091FD0">
        <w:t xml:space="preserve"> to mice and rats</w:t>
      </w:r>
      <w:r>
        <w:t xml:space="preserve"> - a “surrogate” mRNA producing the luciferase protein.  This surrogate is clearly</w:t>
      </w:r>
      <w:r w:rsidR="00430F9F">
        <w:t xml:space="preserve"> </w:t>
      </w:r>
      <w:r w:rsidR="00430F9F" w:rsidRPr="00C62868">
        <w:rPr>
          <w:u w:val="single"/>
        </w:rPr>
        <w:t xml:space="preserve">not </w:t>
      </w:r>
      <w:r>
        <w:rPr>
          <w:u w:val="single"/>
        </w:rPr>
        <w:t xml:space="preserve">coding for </w:t>
      </w:r>
      <w:r w:rsidR="00A87C94" w:rsidRPr="00C62868">
        <w:rPr>
          <w:u w:val="single"/>
        </w:rPr>
        <w:t>spike protein</w:t>
      </w:r>
      <w:r w:rsidR="00A87C94">
        <w:t>,</w:t>
      </w:r>
      <w:r w:rsidR="00D25994">
        <w:t xml:space="preserve"> and </w:t>
      </w:r>
      <w:r>
        <w:t xml:space="preserve">therefore no conclusions can be made whether the theoretical promise of no circulation of spike protein in blood stream is materialized in the final product.  Additionally, </w:t>
      </w:r>
      <w:r w:rsidR="00A87C94">
        <w:t>the LNP delivery formulation</w:t>
      </w:r>
      <w:r>
        <w:t xml:space="preserve"> used</w:t>
      </w:r>
      <w:r w:rsidR="00A87C94">
        <w:t xml:space="preserve"> is not the same, but “close enough” to the final vaccine product.  </w:t>
      </w:r>
      <w:r w:rsidR="00833374">
        <w:t xml:space="preserve">The </w:t>
      </w:r>
      <w:r w:rsidR="00916B3E">
        <w:t xml:space="preserve">claims </w:t>
      </w:r>
      <w:r w:rsidR="002B7428">
        <w:t>unsupported by any data in the</w:t>
      </w:r>
      <w:r w:rsidR="00916B3E">
        <w:t xml:space="preserve"> non-study of </w:t>
      </w:r>
      <w:r w:rsidR="0065223B">
        <w:t>only half of the</w:t>
      </w:r>
      <w:r w:rsidR="00916B3E">
        <w:t xml:space="preserve"> product </w:t>
      </w:r>
      <w:r w:rsidR="0065223B">
        <w:t xml:space="preserve">formulation </w:t>
      </w:r>
      <w:r w:rsidR="002B7428">
        <w:t>are breathtakingly scientifically dishonest</w:t>
      </w:r>
      <w:r w:rsidR="00916B3E">
        <w:t>:</w:t>
      </w:r>
    </w:p>
    <w:p w14:paraId="51B50CE8" w14:textId="07278017" w:rsidR="00C62868" w:rsidRPr="00C62868" w:rsidRDefault="00C62868" w:rsidP="00C62868">
      <w:pPr>
        <w:rPr>
          <w:i/>
          <w:iCs/>
        </w:rPr>
      </w:pPr>
      <w:r w:rsidRPr="00C62868">
        <w:rPr>
          <w:i/>
          <w:iCs/>
        </w:rPr>
        <w:t>“Distribution to the liver is likely mediated by LNPs entering the blood stream. The luciferase expression at the injection sites dropped to background levels after 9 days. The repeat-dose toxicity study in rats showed no evidence of liver injury (Section 2.4.4.3). The biodistribution of the antigen encoded by the RNA component of BNT162b2 is expected to be dependent on the LNP distribution and the results presented should be representative for the vaccine RNA platform, as the LNP-formulated luciferase-encoding modRNA had the same lipid composition.”</w:t>
      </w:r>
    </w:p>
    <w:p w14:paraId="48902D42" w14:textId="6BC0A438" w:rsidR="00C62868" w:rsidRPr="003B4059" w:rsidRDefault="00152433" w:rsidP="00142462">
      <w:pPr>
        <w:rPr>
          <w:b/>
          <w:bCs/>
        </w:rPr>
      </w:pPr>
      <w:r>
        <w:rPr>
          <w:b/>
          <w:bCs/>
        </w:rPr>
        <w:t xml:space="preserve">Let’s reiterate this: </w:t>
      </w:r>
      <w:r w:rsidR="00DD3170" w:rsidRPr="003B4059">
        <w:rPr>
          <w:b/>
          <w:bCs/>
        </w:rPr>
        <w:t>Pfizer has evaluated a</w:t>
      </w:r>
      <w:r w:rsidR="002B7428">
        <w:rPr>
          <w:b/>
          <w:bCs/>
        </w:rPr>
        <w:t xml:space="preserve">n </w:t>
      </w:r>
      <w:r w:rsidR="00DD3170" w:rsidRPr="003B4059">
        <w:rPr>
          <w:b/>
          <w:bCs/>
        </w:rPr>
        <w:t xml:space="preserve">unrelated product </w:t>
      </w:r>
      <w:r w:rsidR="002B7428">
        <w:rPr>
          <w:b/>
          <w:bCs/>
        </w:rPr>
        <w:t>surrogate</w:t>
      </w:r>
      <w:r w:rsidR="00DD3170" w:rsidRPr="003B4059">
        <w:rPr>
          <w:b/>
          <w:bCs/>
        </w:rPr>
        <w:t xml:space="preserve"> and made the claim that the toxicity and safety results are representative of its mRNA active ingredient encoding spike protein</w:t>
      </w:r>
      <w:r w:rsidR="003B4059" w:rsidRPr="003B4059">
        <w:rPr>
          <w:b/>
          <w:bCs/>
        </w:rPr>
        <w:t xml:space="preserve">!  More shocking still, the FDA did not find this objectionable.  </w:t>
      </w:r>
    </w:p>
    <w:p w14:paraId="638974C0" w14:textId="63D5FBC5" w:rsidR="00FD55E5" w:rsidRDefault="00A87C94" w:rsidP="00142462">
      <w:r>
        <w:t xml:space="preserve">No rationale for not testing the mRNA </w:t>
      </w:r>
      <w:r w:rsidR="003B4059">
        <w:t>coding for spike protein</w:t>
      </w:r>
      <w:r>
        <w:t xml:space="preserve"> is provided.  </w:t>
      </w:r>
      <w:r w:rsidR="003B4059">
        <w:t>It</w:t>
      </w:r>
      <w:r>
        <w:t xml:space="preserve"> would have been possible to assess the expression (and subsequent effects or lack thereof</w:t>
      </w:r>
      <w:r w:rsidR="00505086">
        <w:t>)</w:t>
      </w:r>
      <w:r>
        <w:t xml:space="preserve"> of the spike protein in various tissues of interest.  After all, the </w:t>
      </w:r>
      <w:r w:rsidR="00395A38">
        <w:t>recent</w:t>
      </w:r>
      <w:r>
        <w:t xml:space="preserve"> histopathological studies based on </w:t>
      </w:r>
      <w:r w:rsidR="00395A38">
        <w:t xml:space="preserve">autopsies of </w:t>
      </w:r>
      <w:r>
        <w:t>post-vaccine death</w:t>
      </w:r>
      <w:r w:rsidR="00395A38">
        <w:t>s</w:t>
      </w:r>
      <w:r w:rsidR="00430F9F">
        <w:rPr>
          <w:rStyle w:val="FootnoteReference"/>
        </w:rPr>
        <w:footnoteReference w:id="6"/>
      </w:r>
      <w:r w:rsidR="007638D3">
        <w:t xml:space="preserve"> provide ample evidence that th</w:t>
      </w:r>
      <w:r w:rsidR="00FD55E5">
        <w:t xml:space="preserve">e expression of spike protein </w:t>
      </w:r>
      <w:r w:rsidR="0015093A">
        <w:t xml:space="preserve">with subsequent organ damage </w:t>
      </w:r>
      <w:r w:rsidR="007638D3">
        <w:t>was possible to detect and study</w:t>
      </w:r>
      <w:r w:rsidR="003B4059">
        <w:t xml:space="preserve"> with standard techniques</w:t>
      </w:r>
      <w:r w:rsidR="007638D3">
        <w:t xml:space="preserve">. </w:t>
      </w:r>
      <w:r w:rsidR="00770B5F">
        <w:t xml:space="preserve"> </w:t>
      </w:r>
    </w:p>
    <w:p w14:paraId="6E91C6ED" w14:textId="69895946" w:rsidR="003B4059" w:rsidRDefault="003B4059" w:rsidP="00142462"/>
    <w:p w14:paraId="6386446A" w14:textId="5DAC74B2" w:rsidR="001116E0" w:rsidRDefault="001116E0" w:rsidP="00142462">
      <w:pPr>
        <w:rPr>
          <w:b/>
          <w:bCs/>
          <w:sz w:val="24"/>
          <w:szCs w:val="24"/>
        </w:rPr>
      </w:pPr>
      <w:r>
        <w:rPr>
          <w:b/>
          <w:bCs/>
          <w:sz w:val="24"/>
          <w:szCs w:val="24"/>
        </w:rPr>
        <w:t xml:space="preserve">Finding 3: </w:t>
      </w:r>
      <w:r w:rsidR="007735D1">
        <w:rPr>
          <w:b/>
          <w:bCs/>
          <w:sz w:val="24"/>
          <w:szCs w:val="24"/>
        </w:rPr>
        <w:t xml:space="preserve">Pfizer </w:t>
      </w:r>
      <w:r w:rsidR="005D5920">
        <w:rPr>
          <w:b/>
          <w:bCs/>
          <w:sz w:val="24"/>
          <w:szCs w:val="24"/>
        </w:rPr>
        <w:t>c</w:t>
      </w:r>
      <w:r w:rsidR="00CA2E34">
        <w:rPr>
          <w:b/>
          <w:bCs/>
          <w:sz w:val="24"/>
          <w:szCs w:val="24"/>
        </w:rPr>
        <w:t xml:space="preserve">laimed </w:t>
      </w:r>
      <w:r w:rsidR="005D5920">
        <w:rPr>
          <w:b/>
          <w:bCs/>
          <w:sz w:val="24"/>
          <w:szCs w:val="24"/>
        </w:rPr>
        <w:t>a</w:t>
      </w:r>
      <w:r w:rsidR="00CA2E34">
        <w:rPr>
          <w:b/>
          <w:bCs/>
          <w:sz w:val="24"/>
          <w:szCs w:val="24"/>
        </w:rPr>
        <w:t>bsence of</w:t>
      </w:r>
      <w:r w:rsidR="007735D1">
        <w:rPr>
          <w:b/>
          <w:bCs/>
          <w:sz w:val="24"/>
          <w:szCs w:val="24"/>
        </w:rPr>
        <w:t xml:space="preserve"> </w:t>
      </w:r>
      <w:r w:rsidR="005D5920">
        <w:rPr>
          <w:b/>
          <w:bCs/>
          <w:sz w:val="24"/>
          <w:szCs w:val="24"/>
        </w:rPr>
        <w:t>p</w:t>
      </w:r>
      <w:r w:rsidR="007735D1">
        <w:rPr>
          <w:b/>
          <w:bCs/>
          <w:sz w:val="24"/>
          <w:szCs w:val="24"/>
        </w:rPr>
        <w:t xml:space="preserve">otential for </w:t>
      </w:r>
      <w:r w:rsidR="005D5920">
        <w:rPr>
          <w:b/>
          <w:bCs/>
          <w:sz w:val="24"/>
          <w:szCs w:val="24"/>
        </w:rPr>
        <w:t>e</w:t>
      </w:r>
      <w:r w:rsidR="007735D1">
        <w:rPr>
          <w:b/>
          <w:bCs/>
          <w:sz w:val="24"/>
          <w:szCs w:val="24"/>
        </w:rPr>
        <w:t xml:space="preserve">nhanced </w:t>
      </w:r>
      <w:r w:rsidR="005D5920">
        <w:rPr>
          <w:b/>
          <w:bCs/>
          <w:sz w:val="24"/>
          <w:szCs w:val="24"/>
        </w:rPr>
        <w:t>c</w:t>
      </w:r>
      <w:r w:rsidR="007735D1">
        <w:rPr>
          <w:b/>
          <w:bCs/>
          <w:sz w:val="24"/>
          <w:szCs w:val="24"/>
        </w:rPr>
        <w:t xml:space="preserve">ovid </w:t>
      </w:r>
      <w:r w:rsidR="005D5920">
        <w:rPr>
          <w:b/>
          <w:bCs/>
          <w:sz w:val="24"/>
          <w:szCs w:val="24"/>
        </w:rPr>
        <w:t>i</w:t>
      </w:r>
      <w:r w:rsidR="007735D1">
        <w:rPr>
          <w:b/>
          <w:bCs/>
          <w:sz w:val="24"/>
          <w:szCs w:val="24"/>
        </w:rPr>
        <w:t>llness</w:t>
      </w:r>
      <w:r w:rsidR="00CA2E34">
        <w:rPr>
          <w:b/>
          <w:bCs/>
          <w:sz w:val="24"/>
          <w:szCs w:val="24"/>
        </w:rPr>
        <w:t xml:space="preserve"> in a </w:t>
      </w:r>
      <w:r w:rsidR="005D5920">
        <w:rPr>
          <w:b/>
          <w:bCs/>
          <w:sz w:val="24"/>
          <w:szCs w:val="24"/>
        </w:rPr>
        <w:t>s</w:t>
      </w:r>
      <w:r w:rsidR="00CA2E34">
        <w:rPr>
          <w:b/>
          <w:bCs/>
          <w:sz w:val="24"/>
          <w:szCs w:val="24"/>
        </w:rPr>
        <w:t xml:space="preserve">tudy </w:t>
      </w:r>
      <w:r w:rsidR="005D5920">
        <w:rPr>
          <w:b/>
          <w:bCs/>
          <w:sz w:val="24"/>
          <w:szCs w:val="24"/>
        </w:rPr>
        <w:t>w</w:t>
      </w:r>
      <w:r w:rsidR="00CA2E34">
        <w:rPr>
          <w:b/>
          <w:bCs/>
          <w:sz w:val="24"/>
          <w:szCs w:val="24"/>
        </w:rPr>
        <w:t xml:space="preserve">here </w:t>
      </w:r>
      <w:r w:rsidR="005D5920">
        <w:rPr>
          <w:b/>
          <w:bCs/>
          <w:sz w:val="24"/>
          <w:szCs w:val="24"/>
        </w:rPr>
        <w:t>n</w:t>
      </w:r>
      <w:r w:rsidR="00CA2E34">
        <w:rPr>
          <w:b/>
          <w:bCs/>
          <w:sz w:val="24"/>
          <w:szCs w:val="24"/>
        </w:rPr>
        <w:t xml:space="preserve">o </w:t>
      </w:r>
      <w:r w:rsidR="005D5920">
        <w:rPr>
          <w:b/>
          <w:bCs/>
          <w:sz w:val="24"/>
          <w:szCs w:val="24"/>
        </w:rPr>
        <w:t>c</w:t>
      </w:r>
      <w:r w:rsidR="00CA2E34">
        <w:rPr>
          <w:b/>
          <w:bCs/>
          <w:sz w:val="24"/>
          <w:szCs w:val="24"/>
        </w:rPr>
        <w:t xml:space="preserve">ovid </w:t>
      </w:r>
      <w:r w:rsidR="005D5920">
        <w:rPr>
          <w:b/>
          <w:bCs/>
          <w:sz w:val="24"/>
          <w:szCs w:val="24"/>
        </w:rPr>
        <w:t>i</w:t>
      </w:r>
      <w:r w:rsidR="00CA2E34">
        <w:rPr>
          <w:b/>
          <w:bCs/>
          <w:sz w:val="24"/>
          <w:szCs w:val="24"/>
        </w:rPr>
        <w:t xml:space="preserve">llness </w:t>
      </w:r>
      <w:r w:rsidR="005D5920">
        <w:rPr>
          <w:b/>
          <w:bCs/>
          <w:sz w:val="24"/>
          <w:szCs w:val="24"/>
        </w:rPr>
        <w:t>w</w:t>
      </w:r>
      <w:r w:rsidR="00CA2E34">
        <w:rPr>
          <w:b/>
          <w:bCs/>
          <w:sz w:val="24"/>
          <w:szCs w:val="24"/>
        </w:rPr>
        <w:t xml:space="preserve">as </w:t>
      </w:r>
      <w:r w:rsidR="005D5920">
        <w:rPr>
          <w:b/>
          <w:bCs/>
          <w:sz w:val="24"/>
          <w:szCs w:val="24"/>
        </w:rPr>
        <w:t>o</w:t>
      </w:r>
      <w:r w:rsidR="00CA2E34">
        <w:rPr>
          <w:b/>
          <w:bCs/>
          <w:sz w:val="24"/>
          <w:szCs w:val="24"/>
        </w:rPr>
        <w:t>bserved</w:t>
      </w:r>
      <w:r w:rsidR="007735D1">
        <w:rPr>
          <w:b/>
          <w:bCs/>
          <w:sz w:val="24"/>
          <w:szCs w:val="24"/>
        </w:rPr>
        <w:t>.</w:t>
      </w:r>
    </w:p>
    <w:p w14:paraId="7B0FFFFF" w14:textId="1B420F9E" w:rsidR="007735D1" w:rsidRPr="007735D1" w:rsidRDefault="00307053" w:rsidP="00142462">
      <w:r>
        <w:t>In another sleigh of hand, the manufacturer claimed “</w:t>
      </w:r>
      <w:r w:rsidR="007C3376">
        <w:t>no evidence of vaccine-elicited disease enhancement” in the study</w:t>
      </w:r>
      <w:r w:rsidR="00E20FE9">
        <w:t xml:space="preserve"> where no clinical symptoms of covid illness were elicited </w:t>
      </w:r>
      <w:r w:rsidR="00E21214">
        <w:t xml:space="preserve">in the first place, </w:t>
      </w:r>
      <w:r w:rsidR="00E20FE9">
        <w:t xml:space="preserve">in either inoculated or control </w:t>
      </w:r>
      <w:r w:rsidR="00E20FE9">
        <w:lastRenderedPageBreak/>
        <w:t xml:space="preserve">animals after virus challenge.  The study </w:t>
      </w:r>
      <w:r w:rsidR="0043705E">
        <w:t>of immunogenicity (</w:t>
      </w:r>
      <w:r w:rsidR="00E21214">
        <w:t xml:space="preserve">VR-VTR-10671) </w:t>
      </w:r>
      <w:r w:rsidR="00E20FE9">
        <w:t>was</w:t>
      </w:r>
      <w:r w:rsidR="007C3376">
        <w:t xml:space="preserve"> conducted in 6 rhesus monkeys inoculated with 2 injections 21 days apart, and a control group of 3 monkeys.  </w:t>
      </w:r>
      <w:r w:rsidR="00E21214">
        <w:t>Only</w:t>
      </w:r>
      <w:r w:rsidR="007C3376">
        <w:t xml:space="preserve"> male monkeys were selected for unspecified reasons. </w:t>
      </w:r>
      <w:r w:rsidR="00E20FE9">
        <w:t xml:space="preserve"> While inoculated monkeys produced the </w:t>
      </w:r>
      <w:r w:rsidR="0043705E">
        <w:t xml:space="preserve">measurable </w:t>
      </w:r>
      <w:r w:rsidR="00E20FE9">
        <w:t>antibod</w:t>
      </w:r>
      <w:r w:rsidR="0043705E">
        <w:t>y response, and upon viral challenge, produced much lower levels of viral RNA in the lungs vs the control group, none of the monkeys got clinically ill.  Pfizer states that</w:t>
      </w:r>
      <w:r w:rsidR="00C47A55">
        <w:t xml:space="preserve"> (emphasis added):</w:t>
      </w:r>
      <w:r w:rsidR="0043705E">
        <w:t xml:space="preserve"> “None of the challenged animals showed clinical signs of significant illness, indicating that the 2-4 years old male rhesus challenge model is primarily an infection model for SARS-CoV-2, </w:t>
      </w:r>
      <w:r w:rsidR="0043705E" w:rsidRPr="0043705E">
        <w:rPr>
          <w:b/>
          <w:bCs/>
        </w:rPr>
        <w:t>not a COVID-19 disease model</w:t>
      </w:r>
      <w:r w:rsidR="0043705E">
        <w:t xml:space="preserve">”.  </w:t>
      </w:r>
      <w:r w:rsidR="00E21214">
        <w:t xml:space="preserve"> It seems that for Pfizer (and FDA), studying a non-disease model to make claims about lack of the enhanced disease is acceptable.  </w:t>
      </w:r>
    </w:p>
    <w:p w14:paraId="45368F18" w14:textId="77777777" w:rsidR="007735D1" w:rsidRDefault="007735D1" w:rsidP="00142462">
      <w:pPr>
        <w:rPr>
          <w:b/>
          <w:bCs/>
          <w:sz w:val="24"/>
          <w:szCs w:val="24"/>
        </w:rPr>
      </w:pPr>
    </w:p>
    <w:p w14:paraId="5532B0EA" w14:textId="14725DFE" w:rsidR="003B4059" w:rsidRPr="00321C48" w:rsidRDefault="003B4059" w:rsidP="00142462">
      <w:pPr>
        <w:rPr>
          <w:b/>
          <w:bCs/>
          <w:sz w:val="24"/>
          <w:szCs w:val="24"/>
        </w:rPr>
      </w:pPr>
      <w:r w:rsidRPr="00321C48">
        <w:rPr>
          <w:b/>
          <w:bCs/>
          <w:sz w:val="24"/>
          <w:szCs w:val="24"/>
        </w:rPr>
        <w:t xml:space="preserve">Finding </w:t>
      </w:r>
      <w:r w:rsidR="001116E0">
        <w:rPr>
          <w:b/>
          <w:bCs/>
          <w:sz w:val="24"/>
          <w:szCs w:val="24"/>
        </w:rPr>
        <w:t>4</w:t>
      </w:r>
      <w:r w:rsidRPr="00321C48">
        <w:rPr>
          <w:b/>
          <w:bCs/>
          <w:sz w:val="24"/>
          <w:szCs w:val="24"/>
        </w:rPr>
        <w:t xml:space="preserve">: </w:t>
      </w:r>
      <w:r w:rsidR="004B3553" w:rsidRPr="00321C48">
        <w:rPr>
          <w:b/>
          <w:bCs/>
          <w:sz w:val="24"/>
          <w:szCs w:val="24"/>
        </w:rPr>
        <w:t xml:space="preserve">CDC, FDA and Pfizer </w:t>
      </w:r>
      <w:r w:rsidR="005D5920">
        <w:rPr>
          <w:b/>
          <w:bCs/>
          <w:sz w:val="24"/>
          <w:szCs w:val="24"/>
        </w:rPr>
        <w:t>l</w:t>
      </w:r>
      <w:r w:rsidR="004B3553" w:rsidRPr="00321C48">
        <w:rPr>
          <w:b/>
          <w:bCs/>
          <w:sz w:val="24"/>
          <w:szCs w:val="24"/>
        </w:rPr>
        <w:t xml:space="preserve">ied </w:t>
      </w:r>
      <w:r w:rsidR="005D5920">
        <w:rPr>
          <w:b/>
          <w:bCs/>
          <w:sz w:val="24"/>
          <w:szCs w:val="24"/>
        </w:rPr>
        <w:t>a</w:t>
      </w:r>
      <w:r w:rsidR="004B3553" w:rsidRPr="00321C48">
        <w:rPr>
          <w:b/>
          <w:bCs/>
          <w:sz w:val="24"/>
          <w:szCs w:val="24"/>
        </w:rPr>
        <w:t>bout “</w:t>
      </w:r>
      <w:r w:rsidR="005D5920">
        <w:rPr>
          <w:b/>
          <w:bCs/>
          <w:sz w:val="24"/>
          <w:szCs w:val="24"/>
        </w:rPr>
        <w:t>v</w:t>
      </w:r>
      <w:r w:rsidR="004B3553" w:rsidRPr="00321C48">
        <w:rPr>
          <w:b/>
          <w:bCs/>
          <w:sz w:val="24"/>
          <w:szCs w:val="24"/>
        </w:rPr>
        <w:t xml:space="preserve">accine </w:t>
      </w:r>
      <w:r w:rsidR="005D5920">
        <w:rPr>
          <w:b/>
          <w:bCs/>
          <w:sz w:val="24"/>
          <w:szCs w:val="24"/>
        </w:rPr>
        <w:t>s</w:t>
      </w:r>
      <w:r w:rsidR="004B3553" w:rsidRPr="00321C48">
        <w:rPr>
          <w:b/>
          <w:bCs/>
          <w:sz w:val="24"/>
          <w:szCs w:val="24"/>
        </w:rPr>
        <w:t xml:space="preserve">taying in the </w:t>
      </w:r>
      <w:r w:rsidR="005D5920">
        <w:rPr>
          <w:b/>
          <w:bCs/>
          <w:sz w:val="24"/>
          <w:szCs w:val="24"/>
        </w:rPr>
        <w:t>i</w:t>
      </w:r>
      <w:r w:rsidR="004B3553" w:rsidRPr="00321C48">
        <w:rPr>
          <w:b/>
          <w:bCs/>
          <w:sz w:val="24"/>
          <w:szCs w:val="24"/>
        </w:rPr>
        <w:t xml:space="preserve">njection </w:t>
      </w:r>
      <w:r w:rsidR="005D5920">
        <w:rPr>
          <w:b/>
          <w:bCs/>
          <w:sz w:val="24"/>
          <w:szCs w:val="24"/>
        </w:rPr>
        <w:t>s</w:t>
      </w:r>
      <w:r w:rsidR="004B3553" w:rsidRPr="00321C48">
        <w:rPr>
          <w:b/>
          <w:bCs/>
          <w:sz w:val="24"/>
          <w:szCs w:val="24"/>
        </w:rPr>
        <w:t>ite”.</w:t>
      </w:r>
    </w:p>
    <w:p w14:paraId="1D1220F2" w14:textId="18DB02DD" w:rsidR="00E0069D" w:rsidRDefault="004B3553" w:rsidP="00142462">
      <w:r>
        <w:t>T</w:t>
      </w:r>
      <w:r w:rsidR="00FD55E5">
        <w:t>h</w:t>
      </w:r>
      <w:r w:rsidR="008D2C5F">
        <w:t xml:space="preserve">e biodistribution </w:t>
      </w:r>
      <w:r w:rsidR="00FD55E5">
        <w:t>study in rats</w:t>
      </w:r>
      <w:r w:rsidR="008D2C5F">
        <w:t xml:space="preserve"> </w:t>
      </w:r>
      <w:r>
        <w:t>clearly shows that</w:t>
      </w:r>
      <w:r w:rsidR="00FD55E5">
        <w:t xml:space="preserve"> the p</w:t>
      </w:r>
      <w:r>
        <w:t xml:space="preserve">ayload (whatever it </w:t>
      </w:r>
      <w:r w:rsidR="0094390C">
        <w:t xml:space="preserve">happens to be </w:t>
      </w:r>
      <w:r w:rsidR="0065223B">
        <w:t>–</w:t>
      </w:r>
      <w:r>
        <w:t xml:space="preserve"> luciferase</w:t>
      </w:r>
      <w:r w:rsidR="0065223B">
        <w:t xml:space="preserve"> surrogate</w:t>
      </w:r>
      <w:r>
        <w:t xml:space="preserve"> or </w:t>
      </w:r>
      <w:r w:rsidR="0094390C">
        <w:t>never-tested</w:t>
      </w:r>
      <w:r>
        <w:t xml:space="preserve"> mRNA encoding for spike protein)</w:t>
      </w:r>
      <w:r w:rsidR="00FD55E5">
        <w:t xml:space="preserve"> is getting </w:t>
      </w:r>
      <w:r w:rsidR="00B901B0">
        <w:t xml:space="preserve">into the bloodstream and is being </w:t>
      </w:r>
      <w:r w:rsidR="00FD55E5">
        <w:t>distributed all over the body</w:t>
      </w:r>
      <w:r w:rsidR="00F62FD2">
        <w:t>:</w:t>
      </w:r>
      <w:r w:rsidR="00FD55E5">
        <w:t xml:space="preserve"> there are major accumulations in adrenal glands, liver, spleen, </w:t>
      </w:r>
      <w:r>
        <w:t>ovaries,</w:t>
      </w:r>
      <w:r w:rsidR="00FD55E5">
        <w:t xml:space="preserve"> and other organs such as lymph nodes and bone marrow as </w:t>
      </w:r>
      <w:r w:rsidR="002C3C76">
        <w:t xml:space="preserve">the </w:t>
      </w:r>
      <w:r w:rsidR="00FD55E5">
        <w:t xml:space="preserve">table below illustrates. </w:t>
      </w:r>
      <w:r w:rsidR="0065223B">
        <w:t>In fact</w:t>
      </w:r>
      <w:r w:rsidR="00FE274E">
        <w:t>,</w:t>
      </w:r>
      <w:r w:rsidR="0065223B">
        <w:t xml:space="preserve"> one of the studies in rats included in the package anticipates the product reaching the blood stream directly and includes the IV route of administration. This study is also based on the surrogate mRNA and not the spike protein encoding version.  </w:t>
      </w:r>
    </w:p>
    <w:p w14:paraId="25099102" w14:textId="2160F22E" w:rsidR="00857F44" w:rsidRDefault="00857F44" w:rsidP="00142462">
      <w:r>
        <w:t xml:space="preserve">Since the focus of this article is the scope of Pfizer’s non-clinical program, and not in-depth review of these studies, </w:t>
      </w:r>
      <w:r w:rsidR="00D6280B">
        <w:t>I refer the readers to an excellent analysis performed by scientific experts in this field.</w:t>
      </w:r>
      <w:r w:rsidR="00D6280B">
        <w:rPr>
          <w:rStyle w:val="FootnoteReference"/>
        </w:rPr>
        <w:footnoteReference w:id="7"/>
      </w:r>
    </w:p>
    <w:p w14:paraId="32C515BB" w14:textId="21E83B5D" w:rsidR="00E0069D" w:rsidRDefault="00E0069D">
      <w:r>
        <w:rPr>
          <w:noProof/>
        </w:rPr>
        <w:drawing>
          <wp:inline distT="0" distB="0" distL="0" distR="0" wp14:anchorId="48FAF792" wp14:editId="5E462772">
            <wp:extent cx="6211441" cy="4902517"/>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216066" cy="4906168"/>
                    </a:xfrm>
                    <a:prstGeom prst="rect">
                      <a:avLst/>
                    </a:prstGeom>
                    <a:noFill/>
                  </pic:spPr>
                </pic:pic>
              </a:graphicData>
            </a:graphic>
          </wp:inline>
        </w:drawing>
      </w:r>
    </w:p>
    <w:p w14:paraId="09D5FAC0" w14:textId="1A4A8A0C" w:rsidR="00E0069D" w:rsidRDefault="00F62FD2">
      <w:r>
        <w:t xml:space="preserve">Notably, this study is incomplete: it does not fully characterize the biodistribution of the LNPs carrying their payload.  The study is stopped while the concentrations in the liver, spleen and ovaries of the females are still increasing, and therefore it is not possible to say what maximum concentrations in various organs were observed. </w:t>
      </w:r>
      <w:r w:rsidR="00BB778D">
        <w:t xml:space="preserve">No follow-on </w:t>
      </w:r>
      <w:r w:rsidR="00BB778D">
        <w:lastRenderedPageBreak/>
        <w:t xml:space="preserve">studies elucidating the complete time course of distribution, </w:t>
      </w:r>
      <w:r w:rsidR="003C6399">
        <w:t xml:space="preserve">time to maximum </w:t>
      </w:r>
      <w:r w:rsidR="00BB778D">
        <w:t>concentration</w:t>
      </w:r>
      <w:r w:rsidR="003C6399">
        <w:t>, maximum concentrations observed,</w:t>
      </w:r>
      <w:r w:rsidR="00BB778D">
        <w:t xml:space="preserve"> and </w:t>
      </w:r>
      <w:r w:rsidR="003C6399">
        <w:t xml:space="preserve">time to </w:t>
      </w:r>
      <w:r w:rsidR="00BB778D">
        <w:t>clearance were performed or planned.</w:t>
      </w:r>
      <w:r w:rsidR="003C6399">
        <w:t xml:space="preserve">  No estimates of the therapeutic safety margins were provided.  </w:t>
      </w:r>
    </w:p>
    <w:p w14:paraId="5D69E050" w14:textId="1354EFA8" w:rsidR="00B12708" w:rsidRDefault="00B12708">
      <w:r>
        <w:t xml:space="preserve">The overall nonclinical testing program appears woefully incomplete. This fact </w:t>
      </w:r>
      <w:r w:rsidR="00BB778D">
        <w:t>was</w:t>
      </w:r>
      <w:r>
        <w:t xml:space="preserve"> clearly noted in the European Medicines Agency (EMA) summary document</w:t>
      </w:r>
      <w:r w:rsidR="009219EF">
        <w:rPr>
          <w:rStyle w:val="FootnoteReference"/>
        </w:rPr>
        <w:footnoteReference w:id="8"/>
      </w:r>
      <w:r>
        <w:t xml:space="preserve"> of the “Comirnaty” BNT162b2 vaccine.  The reviewers share an explicit admission that </w:t>
      </w:r>
      <w:r w:rsidRPr="00B12708">
        <w:rPr>
          <w:b/>
          <w:bCs/>
          <w:i/>
          <w:iCs/>
        </w:rPr>
        <w:t>“No traditional pharmacokinetic or biodistribution studies have been performed with the vaccine candidate BNT162b2.”</w:t>
      </w:r>
      <w:r>
        <w:t xml:space="preserve"> Additionally, the EMA document states “Biodistribution: Several literature reports indicate that LNP-formulated RNAs can distribute rather </w:t>
      </w:r>
      <w:proofErr w:type="spellStart"/>
      <w:r>
        <w:t>nonspecifically</w:t>
      </w:r>
      <w:proofErr w:type="spellEnd"/>
      <w:r>
        <w:t xml:space="preserve"> to several organs such as spleen, heart, kidney, </w:t>
      </w:r>
      <w:r w:rsidR="003C6399">
        <w:t>lung,</w:t>
      </w:r>
      <w:r>
        <w:t xml:space="preserve"> and brain. In line with this, results from the newly transmitted study 185350, indicate a broader biodistribution pattern</w:t>
      </w:r>
      <w:r w:rsidR="00E61734">
        <w:t>.”</w:t>
      </w:r>
      <w:r>
        <w:t xml:space="preserve"> </w:t>
      </w:r>
    </w:p>
    <w:p w14:paraId="4E65E742" w14:textId="494235A5" w:rsidR="00EA4C7B" w:rsidRDefault="009219EF">
      <w:r>
        <w:t xml:space="preserve">Although not performed to industry GLP standards, these results seem to indicate that lipid nanoparticles with mRNA which codes for the spike protein, </w:t>
      </w:r>
      <w:r w:rsidR="001F62A0">
        <w:t xml:space="preserve">reach the bloodstream, </w:t>
      </w:r>
      <w:r>
        <w:t xml:space="preserve">circulate throughout the </w:t>
      </w:r>
      <w:r w:rsidR="003C6399">
        <w:t>body,</w:t>
      </w:r>
      <w:r>
        <w:t xml:space="preserve"> and then collect in a variety of organs and tissues. If this results in </w:t>
      </w:r>
      <w:r w:rsidR="009C722C">
        <w:t>s</w:t>
      </w:r>
      <w:r>
        <w:t xml:space="preserve">pike protein </w:t>
      </w:r>
      <w:r w:rsidR="001F62A0">
        <w:t>expressed</w:t>
      </w:r>
      <w:r>
        <w:t xml:space="preserve"> in</w:t>
      </w:r>
      <w:r w:rsidR="009C722C">
        <w:t xml:space="preserve"> those organs, they will both stimulate immunity </w:t>
      </w:r>
      <w:r w:rsidR="001F62A0">
        <w:t>and</w:t>
      </w:r>
      <w:r w:rsidR="009C722C">
        <w:t xml:space="preserve"> cause those same cells to be attacked by the immune system. </w:t>
      </w:r>
      <w:r w:rsidR="001F62A0">
        <w:t>T</w:t>
      </w:r>
      <w:r w:rsidR="009C722C">
        <w:t xml:space="preserve">he resulting “vaccine reactogenicity” could resemble clinical symptoms seen with autoimmune syndromes of various severity, in some cases severe enough to cause death or permanent disability.  </w:t>
      </w:r>
      <w:r w:rsidR="001F62A0">
        <w:t>With the rollout of the vaccines globally,</w:t>
      </w:r>
      <w:r w:rsidR="009C722C">
        <w:t xml:space="preserve"> these </w:t>
      </w:r>
      <w:r w:rsidR="001F62A0">
        <w:t xml:space="preserve">exact </w:t>
      </w:r>
      <w:r w:rsidR="009C722C">
        <w:t xml:space="preserve">types of adverse events have been reported in thousands in the vaccine adverse event reporting systems, yet no public health agency has yet made a connection between this preclinically documented mechanism and the </w:t>
      </w:r>
      <w:r w:rsidR="00D61B2D">
        <w:t xml:space="preserve">alarming </w:t>
      </w:r>
      <w:r w:rsidR="001F62A0">
        <w:t xml:space="preserve">current health </w:t>
      </w:r>
      <w:r w:rsidR="009C722C">
        <w:t xml:space="preserve">outcomes data. </w:t>
      </w:r>
    </w:p>
    <w:p w14:paraId="515EFF7A" w14:textId="77777777" w:rsidR="00D522C2" w:rsidRDefault="00D522C2">
      <w:pPr>
        <w:rPr>
          <w:b/>
          <w:bCs/>
        </w:rPr>
      </w:pPr>
    </w:p>
    <w:p w14:paraId="35902EB7" w14:textId="0E6D1180" w:rsidR="00705B5C" w:rsidRPr="00705B5C" w:rsidRDefault="00705B5C">
      <w:pPr>
        <w:rPr>
          <w:b/>
          <w:bCs/>
        </w:rPr>
      </w:pPr>
      <w:r w:rsidRPr="00705B5C">
        <w:rPr>
          <w:b/>
          <w:bCs/>
        </w:rPr>
        <w:t xml:space="preserve">Finding </w:t>
      </w:r>
      <w:r w:rsidR="00D522C2">
        <w:rPr>
          <w:b/>
          <w:bCs/>
        </w:rPr>
        <w:t>5</w:t>
      </w:r>
      <w:r w:rsidRPr="00705B5C">
        <w:rPr>
          <w:b/>
          <w:bCs/>
        </w:rPr>
        <w:t xml:space="preserve">: Pfizer </w:t>
      </w:r>
      <w:r w:rsidR="005D5920">
        <w:rPr>
          <w:b/>
          <w:bCs/>
        </w:rPr>
        <w:t>s</w:t>
      </w:r>
      <w:r w:rsidR="00793C79">
        <w:rPr>
          <w:b/>
          <w:bCs/>
        </w:rPr>
        <w:t>kipped</w:t>
      </w:r>
      <w:r w:rsidR="00793C79" w:rsidRPr="00705B5C">
        <w:rPr>
          <w:b/>
          <w:bCs/>
        </w:rPr>
        <w:t xml:space="preserve"> </w:t>
      </w:r>
      <w:r w:rsidR="005D5920">
        <w:rPr>
          <w:b/>
          <w:bCs/>
        </w:rPr>
        <w:t>m</w:t>
      </w:r>
      <w:r w:rsidRPr="00705B5C">
        <w:rPr>
          <w:b/>
          <w:bCs/>
        </w:rPr>
        <w:t xml:space="preserve">ajor </w:t>
      </w:r>
      <w:r w:rsidR="005D5920">
        <w:rPr>
          <w:b/>
          <w:bCs/>
        </w:rPr>
        <w:t>c</w:t>
      </w:r>
      <w:r w:rsidRPr="00705B5C">
        <w:rPr>
          <w:b/>
          <w:bCs/>
        </w:rPr>
        <w:t xml:space="preserve">ategories of </w:t>
      </w:r>
      <w:r w:rsidR="005D5920">
        <w:rPr>
          <w:b/>
          <w:bCs/>
        </w:rPr>
        <w:t>s</w:t>
      </w:r>
      <w:r w:rsidRPr="00705B5C">
        <w:rPr>
          <w:b/>
          <w:bCs/>
        </w:rPr>
        <w:t xml:space="preserve">afety </w:t>
      </w:r>
      <w:r w:rsidR="005D5920">
        <w:rPr>
          <w:b/>
          <w:bCs/>
        </w:rPr>
        <w:t>t</w:t>
      </w:r>
      <w:r w:rsidR="006879AD">
        <w:rPr>
          <w:b/>
          <w:bCs/>
        </w:rPr>
        <w:t>esting</w:t>
      </w:r>
      <w:r w:rsidRPr="00705B5C">
        <w:rPr>
          <w:b/>
          <w:bCs/>
        </w:rPr>
        <w:t xml:space="preserve"> </w:t>
      </w:r>
      <w:r w:rsidR="005D5920">
        <w:rPr>
          <w:b/>
          <w:bCs/>
        </w:rPr>
        <w:t>a</w:t>
      </w:r>
      <w:r w:rsidRPr="00705B5C">
        <w:rPr>
          <w:b/>
          <w:bCs/>
        </w:rPr>
        <w:t>ltogether</w:t>
      </w:r>
      <w:r>
        <w:rPr>
          <w:b/>
          <w:bCs/>
        </w:rPr>
        <w:t>.</w:t>
      </w:r>
    </w:p>
    <w:p w14:paraId="5DF99873" w14:textId="44A832FF" w:rsidR="005D1349" w:rsidRPr="004B2176" w:rsidRDefault="00705B5C">
      <w:r>
        <w:t>E</w:t>
      </w:r>
      <w:r w:rsidR="005630ED">
        <w:t xml:space="preserve">ven more </w:t>
      </w:r>
      <w:r w:rsidR="006F2868">
        <w:t>elucidating</w:t>
      </w:r>
      <w:r w:rsidR="005630ED">
        <w:t xml:space="preserve"> is </w:t>
      </w:r>
      <w:r w:rsidR="006F2868">
        <w:t xml:space="preserve">what </w:t>
      </w:r>
      <w:r w:rsidR="005630ED">
        <w:t>Pfizer chose NOT to study</w:t>
      </w:r>
      <w:r w:rsidR="006F2868">
        <w:t>, i.e.</w:t>
      </w:r>
      <w:r w:rsidR="005630ED">
        <w:t xml:space="preserve"> the entire </w:t>
      </w:r>
      <w:r w:rsidR="006F2868">
        <w:t xml:space="preserve">pharmacology </w:t>
      </w:r>
      <w:r w:rsidR="005630ED">
        <w:t xml:space="preserve">sections related to safety and risk characterization.  Specifically, the </w:t>
      </w:r>
      <w:r w:rsidR="008B2066">
        <w:t xml:space="preserve">Non-Clinical </w:t>
      </w:r>
      <w:r w:rsidR="005630ED">
        <w:t xml:space="preserve">document </w:t>
      </w:r>
      <w:r w:rsidR="008B2066">
        <w:t xml:space="preserve">package </w:t>
      </w:r>
      <w:r w:rsidR="005630ED">
        <w:t>stat</w:t>
      </w:r>
      <w:r w:rsidR="008B2066">
        <w:t>es</w:t>
      </w:r>
      <w:r w:rsidR="005630ED">
        <w:t xml:space="preserve"> that:</w:t>
      </w:r>
    </w:p>
    <w:p w14:paraId="6AAE7691" w14:textId="5F8569EA" w:rsidR="001E2FBD" w:rsidRDefault="00947C96">
      <w:r w:rsidRPr="00947C96">
        <w:rPr>
          <w:noProof/>
        </w:rPr>
        <w:drawing>
          <wp:inline distT="0" distB="0" distL="0" distR="0" wp14:anchorId="6E22C8C4" wp14:editId="19B8E9E4">
            <wp:extent cx="5731510" cy="2644775"/>
            <wp:effectExtent l="0" t="0" r="2540" b="3175"/>
            <wp:docPr id="1" name="Picture 1"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 application, email&#10;&#10;Description automatically generated"/>
                    <pic:cNvPicPr/>
                  </pic:nvPicPr>
                  <pic:blipFill>
                    <a:blip r:embed="rId14"/>
                    <a:stretch>
                      <a:fillRect/>
                    </a:stretch>
                  </pic:blipFill>
                  <pic:spPr>
                    <a:xfrm>
                      <a:off x="0" y="0"/>
                      <a:ext cx="5731510" cy="2644775"/>
                    </a:xfrm>
                    <a:prstGeom prst="rect">
                      <a:avLst/>
                    </a:prstGeom>
                  </pic:spPr>
                </pic:pic>
              </a:graphicData>
            </a:graphic>
          </wp:inline>
        </w:drawing>
      </w:r>
    </w:p>
    <w:p w14:paraId="01FDD89A" w14:textId="516FBD47" w:rsidR="00A4742E" w:rsidRDefault="003F092F">
      <w:r>
        <w:rPr>
          <w:noProof/>
        </w:rPr>
        <w:lastRenderedPageBreak/>
        <w:drawing>
          <wp:inline distT="0" distB="0" distL="0" distR="0" wp14:anchorId="655913AB" wp14:editId="1A0D366F">
            <wp:extent cx="5753378" cy="2141712"/>
            <wp:effectExtent l="0" t="0" r="0" b="0"/>
            <wp:docPr id="3" name="Picture 3" descr="Timelin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imeline&#10;&#10;Description automatically generated with low confidence"/>
                    <pic:cNvPicPr/>
                  </pic:nvPicPr>
                  <pic:blipFill>
                    <a:blip r:embed="rId15">
                      <a:extLst>
                        <a:ext uri="{28A0092B-C50C-407E-A947-70E740481C1C}">
                          <a14:useLocalDpi xmlns:a14="http://schemas.microsoft.com/office/drawing/2010/main" val="0"/>
                        </a:ext>
                      </a:extLst>
                    </a:blip>
                    <a:stretch>
                      <a:fillRect/>
                    </a:stretch>
                  </pic:blipFill>
                  <pic:spPr>
                    <a:xfrm>
                      <a:off x="0" y="0"/>
                      <a:ext cx="5800147" cy="2159122"/>
                    </a:xfrm>
                    <a:prstGeom prst="rect">
                      <a:avLst/>
                    </a:prstGeom>
                  </pic:spPr>
                </pic:pic>
              </a:graphicData>
            </a:graphic>
          </wp:inline>
        </w:drawing>
      </w:r>
    </w:p>
    <w:p w14:paraId="039C35C7" w14:textId="1EB4842D" w:rsidR="008451CE" w:rsidRPr="008451CE" w:rsidRDefault="008451CE">
      <w:r w:rsidRPr="008451CE">
        <w:t xml:space="preserve">Let’s review what </w:t>
      </w:r>
      <w:r>
        <w:t xml:space="preserve">safety </w:t>
      </w:r>
      <w:r w:rsidRPr="008451CE">
        <w:t>studies Pfizer decided to omit entirely</w:t>
      </w:r>
      <w:r w:rsidR="00BB778D">
        <w:t>:</w:t>
      </w:r>
    </w:p>
    <w:p w14:paraId="5CC3B682" w14:textId="2BDCFE5A" w:rsidR="00AD2C7E" w:rsidRPr="001F28C6" w:rsidRDefault="00E8754C">
      <w:pPr>
        <w:rPr>
          <w:u w:val="single"/>
        </w:rPr>
      </w:pPr>
      <w:r w:rsidRPr="001F28C6">
        <w:rPr>
          <w:u w:val="single"/>
        </w:rPr>
        <w:t xml:space="preserve">What is </w:t>
      </w:r>
      <w:r w:rsidR="00AD2C7E" w:rsidRPr="001F28C6">
        <w:rPr>
          <w:u w:val="single"/>
        </w:rPr>
        <w:t>Safety Pharmacology</w:t>
      </w:r>
      <w:r w:rsidRPr="001F28C6">
        <w:rPr>
          <w:u w:val="single"/>
        </w:rPr>
        <w:t>?</w:t>
      </w:r>
    </w:p>
    <w:p w14:paraId="5E551FBB" w14:textId="6B038F5B" w:rsidR="00613C27" w:rsidRPr="001F28C6" w:rsidRDefault="00DE5719" w:rsidP="005520B2">
      <w:r w:rsidRPr="00DE5719">
        <w:t xml:space="preserve">The aim of Safety Pharmacology is to characterize the pharmacodynamic/pharmacokinetic (PK/PD) relationship of a drug's adverse effects. </w:t>
      </w:r>
      <w:r>
        <w:t xml:space="preserve">Pharmacodynamics </w:t>
      </w:r>
      <w:r w:rsidR="00147FF2">
        <w:t>aim to describe</w:t>
      </w:r>
      <w:r>
        <w:t xml:space="preserve"> </w:t>
      </w:r>
      <w:r w:rsidR="00147FF2">
        <w:t xml:space="preserve">how </w:t>
      </w:r>
      <w:r>
        <w:t xml:space="preserve">the drug </w:t>
      </w:r>
      <w:r w:rsidR="00147FF2">
        <w:t>acts</w:t>
      </w:r>
      <w:r>
        <w:t xml:space="preserve"> </w:t>
      </w:r>
      <w:r w:rsidR="00147FF2">
        <w:t>on</w:t>
      </w:r>
      <w:r>
        <w:t xml:space="preserve"> the body</w:t>
      </w:r>
      <w:r w:rsidR="00147FF2">
        <w:t xml:space="preserve"> while</w:t>
      </w:r>
      <w:r>
        <w:t xml:space="preserve"> Pharmacokinetics</w:t>
      </w:r>
      <w:r w:rsidR="00147FF2">
        <w:t xml:space="preserve">-how </w:t>
      </w:r>
      <w:r>
        <w:t xml:space="preserve">the body </w:t>
      </w:r>
      <w:r w:rsidR="00147FF2">
        <w:t>acts on</w:t>
      </w:r>
      <w:r>
        <w:t xml:space="preserve"> the drug.  </w:t>
      </w:r>
      <w:r w:rsidR="00A05A2B" w:rsidRPr="00A05A2B">
        <w:t xml:space="preserve">The structure of a Safety Pharmacology ‘core battery' </w:t>
      </w:r>
      <w:r w:rsidR="00A05A2B">
        <w:t>studies</w:t>
      </w:r>
      <w:r w:rsidR="00A05A2B" w:rsidRPr="00A05A2B">
        <w:t xml:space="preserve"> is to determine the potential undesirable effects of a drug on the central nervous, </w:t>
      </w:r>
      <w:r w:rsidR="00147FF2" w:rsidRPr="00A05A2B">
        <w:t>cardiovascular,</w:t>
      </w:r>
      <w:r w:rsidR="00A05A2B" w:rsidRPr="00A05A2B">
        <w:t xml:space="preserve"> and respiratory systems, as well as to implement supplementary tests to evaluate other organ systems</w:t>
      </w:r>
      <w:r w:rsidR="00A05A2B">
        <w:t xml:space="preserve"> (liver, kidney, blood, </w:t>
      </w:r>
      <w:r w:rsidR="0074373E">
        <w:t>etc</w:t>
      </w:r>
      <w:r w:rsidR="00A05A2B">
        <w:t>)</w:t>
      </w:r>
      <w:r w:rsidR="0074373E">
        <w:t xml:space="preserve"> if there is a potential for risks or damage to these systems</w:t>
      </w:r>
      <w:r w:rsidR="00A05A2B">
        <w:t>.</w:t>
      </w:r>
      <w:r w:rsidR="0074373E">
        <w:t xml:space="preserve">   </w:t>
      </w:r>
      <w:r w:rsidR="00A05A2B">
        <w:t xml:space="preserve">  </w:t>
      </w:r>
    </w:p>
    <w:p w14:paraId="317C62D4" w14:textId="21B489BF" w:rsidR="00443D47" w:rsidRPr="001F28C6" w:rsidRDefault="00E8754C">
      <w:pPr>
        <w:rPr>
          <w:u w:val="single"/>
        </w:rPr>
      </w:pPr>
      <w:r w:rsidRPr="001F28C6">
        <w:rPr>
          <w:u w:val="single"/>
        </w:rPr>
        <w:t xml:space="preserve">What </w:t>
      </w:r>
      <w:r w:rsidR="0079476B" w:rsidRPr="001F28C6">
        <w:rPr>
          <w:u w:val="single"/>
        </w:rPr>
        <w:t>are</w:t>
      </w:r>
      <w:r w:rsidRPr="001F28C6">
        <w:rPr>
          <w:u w:val="single"/>
        </w:rPr>
        <w:t xml:space="preserve"> </w:t>
      </w:r>
      <w:r w:rsidR="00443D47" w:rsidRPr="001F28C6">
        <w:rPr>
          <w:u w:val="single"/>
        </w:rPr>
        <w:t>Secondary Pharmacodynamics</w:t>
      </w:r>
      <w:r w:rsidR="0079476B" w:rsidRPr="001F28C6">
        <w:rPr>
          <w:u w:val="single"/>
        </w:rPr>
        <w:t xml:space="preserve"> Studies</w:t>
      </w:r>
      <w:r w:rsidRPr="001F28C6">
        <w:rPr>
          <w:u w:val="single"/>
        </w:rPr>
        <w:t>?</w:t>
      </w:r>
      <w:r w:rsidR="00443D47" w:rsidRPr="001F28C6">
        <w:rPr>
          <w:u w:val="single"/>
        </w:rPr>
        <w:t xml:space="preserve"> </w:t>
      </w:r>
    </w:p>
    <w:p w14:paraId="4E21E449" w14:textId="60918345" w:rsidR="00721495" w:rsidRDefault="005520B2" w:rsidP="00721495">
      <w:r w:rsidRPr="005520B2">
        <w:t>Assessments of new drugs for pharmacological activities other than the desired therapeutic target are called Secondary Pharmacology</w:t>
      </w:r>
      <w:r w:rsidR="007202A6">
        <w:t xml:space="preserve">. </w:t>
      </w:r>
      <w:r w:rsidR="00215AB8">
        <w:t>For an entirely novel class of biological compound</w:t>
      </w:r>
      <w:r w:rsidR="00DD3551">
        <w:t xml:space="preserve"> with a completely novel and undisclosed excipients it is unacceptable to omit evaluation of secondary pharmacodynamics of the whole product and/or its components.  </w:t>
      </w:r>
      <w:r w:rsidR="00721495">
        <w:t xml:space="preserve">In the case of BNT162b2, </w:t>
      </w:r>
      <w:r w:rsidR="00426976">
        <w:t>it can be argued that neither primary nor secondary pharmacology studies were performed</w:t>
      </w:r>
      <w:r w:rsidR="00721495">
        <w:t>.</w:t>
      </w:r>
      <w:r w:rsidR="00426976">
        <w:t xml:space="preserve">  Primary pharmacology of the mRNA encoding for spike protein was never assessed, and the secondary studies were simply dismissed as unnecessary by Pfizer.  </w:t>
      </w:r>
    </w:p>
    <w:p w14:paraId="70F40DCA" w14:textId="0248B8DD" w:rsidR="00DD3551" w:rsidRPr="007202A6" w:rsidRDefault="00E8754C" w:rsidP="00BE2A67">
      <w:pPr>
        <w:rPr>
          <w:u w:val="single"/>
        </w:rPr>
      </w:pPr>
      <w:r w:rsidRPr="007202A6">
        <w:rPr>
          <w:u w:val="single"/>
        </w:rPr>
        <w:t xml:space="preserve">What are </w:t>
      </w:r>
      <w:r w:rsidR="00DD3551" w:rsidRPr="007202A6">
        <w:rPr>
          <w:u w:val="single"/>
        </w:rPr>
        <w:t>Drug Interaction Studies</w:t>
      </w:r>
      <w:r w:rsidRPr="007202A6">
        <w:rPr>
          <w:u w:val="single"/>
        </w:rPr>
        <w:t>?</w:t>
      </w:r>
    </w:p>
    <w:p w14:paraId="1C34993C" w14:textId="7A111596" w:rsidR="0029133F" w:rsidRDefault="006B32B0" w:rsidP="00426976">
      <w:r>
        <w:t xml:space="preserve">Drug interactions studies are designed to assess potential harmful effects from interactions of the novel pharmaceutical product with existing medicines which a patient may be taking.  This </w:t>
      </w:r>
      <w:r w:rsidR="00426976">
        <w:t>considers</w:t>
      </w:r>
      <w:r>
        <w:t xml:space="preserve"> additional burden on major metabolizing organs, such as liver.  </w:t>
      </w:r>
    </w:p>
    <w:p w14:paraId="5F1D206E" w14:textId="3EFFAEBA" w:rsidR="003F6A88" w:rsidRPr="00426976" w:rsidRDefault="00E8754C" w:rsidP="00BE2A67">
      <w:pPr>
        <w:rPr>
          <w:u w:val="single"/>
        </w:rPr>
      </w:pPr>
      <w:r w:rsidRPr="00426976">
        <w:rPr>
          <w:u w:val="single"/>
        </w:rPr>
        <w:t xml:space="preserve">What are </w:t>
      </w:r>
      <w:r w:rsidR="003F6A88" w:rsidRPr="00426976">
        <w:rPr>
          <w:u w:val="single"/>
        </w:rPr>
        <w:t>Genotoxicity</w:t>
      </w:r>
      <w:r w:rsidR="009225A5" w:rsidRPr="00426976">
        <w:rPr>
          <w:u w:val="single"/>
        </w:rPr>
        <w:t xml:space="preserve"> and Carcinogenicity</w:t>
      </w:r>
      <w:r w:rsidR="003F6A88" w:rsidRPr="00426976">
        <w:rPr>
          <w:u w:val="single"/>
        </w:rPr>
        <w:t xml:space="preserve"> Studies</w:t>
      </w:r>
      <w:r w:rsidRPr="00426976">
        <w:rPr>
          <w:u w:val="single"/>
        </w:rPr>
        <w:t>?</w:t>
      </w:r>
      <w:r w:rsidR="009225A5" w:rsidRPr="00426976">
        <w:rPr>
          <w:u w:val="single"/>
        </w:rPr>
        <w:t xml:space="preserve">  </w:t>
      </w:r>
    </w:p>
    <w:p w14:paraId="27750980" w14:textId="2C328157" w:rsidR="00147FF2" w:rsidRPr="003E2CA6" w:rsidRDefault="009225A5" w:rsidP="00C63B60">
      <w:r>
        <w:t xml:space="preserve">Studies designed to evaluate the risk of possible </w:t>
      </w:r>
      <w:r w:rsidR="00241D7B">
        <w:t xml:space="preserve">damage to DNA cellular processes, and to evaluate the risk of promoting cellular damage and cancer formation.  DNA/RNA based novel technologies have an obvious potential to cause </w:t>
      </w:r>
      <w:r w:rsidR="00D311C5">
        <w:t xml:space="preserve">mutagenic effects, and </w:t>
      </w:r>
      <w:r w:rsidR="00CE1F58">
        <w:t xml:space="preserve">the cationic lipids are known to be cytotoxic, </w:t>
      </w:r>
      <w:r w:rsidR="006A30EF">
        <w:t>i.e.,</w:t>
      </w:r>
      <w:r w:rsidR="00CE1F58">
        <w:t xml:space="preserve"> have the potential to cause cancer</w:t>
      </w:r>
      <w:r w:rsidR="00CD2B47">
        <w:rPr>
          <w:rStyle w:val="FootnoteReference"/>
        </w:rPr>
        <w:footnoteReference w:id="9"/>
      </w:r>
      <w:r w:rsidR="00D311C5">
        <w:t xml:space="preserve">.  </w:t>
      </w:r>
      <w:r w:rsidR="00241D7B" w:rsidRPr="00241D7B">
        <w:t>The product w</w:t>
      </w:r>
      <w:r w:rsidR="00D311C5">
        <w:t>as</w:t>
      </w:r>
      <w:r w:rsidR="00241D7B" w:rsidRPr="00241D7B">
        <w:t xml:space="preserve"> n</w:t>
      </w:r>
      <w:r w:rsidR="00CE1F58">
        <w:t>ever</w:t>
      </w:r>
      <w:r w:rsidR="00241D7B" w:rsidRPr="00241D7B">
        <w:t xml:space="preserve"> tested to determine if </w:t>
      </w:r>
      <w:r w:rsidR="00D311C5">
        <w:t>it</w:t>
      </w:r>
      <w:r w:rsidR="00241D7B" w:rsidRPr="00241D7B">
        <w:t xml:space="preserve"> cause</w:t>
      </w:r>
      <w:r w:rsidR="00D311C5">
        <w:t>s</w:t>
      </w:r>
      <w:r w:rsidR="00241D7B" w:rsidRPr="00241D7B">
        <w:t xml:space="preserve"> cancer - n</w:t>
      </w:r>
      <w:r w:rsidR="00CE1F58">
        <w:t>either</w:t>
      </w:r>
      <w:r w:rsidR="00241D7B" w:rsidRPr="00241D7B">
        <w:t xml:space="preserve"> in ani</w:t>
      </w:r>
      <w:r w:rsidR="00CE1F58">
        <w:t>mal</w:t>
      </w:r>
      <w:r w:rsidR="00241D7B" w:rsidRPr="00241D7B">
        <w:t>s</w:t>
      </w:r>
      <w:r w:rsidR="00CE1F58">
        <w:t xml:space="preserve"> nor</w:t>
      </w:r>
      <w:r w:rsidR="00241D7B" w:rsidRPr="00241D7B">
        <w:t xml:space="preserve"> in humans. </w:t>
      </w:r>
    </w:p>
    <w:p w14:paraId="2F5E6EF0" w14:textId="0E3F7111" w:rsidR="00147FF2" w:rsidRDefault="00147FF2" w:rsidP="00C63B60">
      <w:pPr>
        <w:rPr>
          <w:b/>
          <w:bCs/>
        </w:rPr>
      </w:pPr>
    </w:p>
    <w:p w14:paraId="32E14DED" w14:textId="499401D9" w:rsidR="00BB778D" w:rsidRDefault="00BB778D" w:rsidP="00C63B60">
      <w:r w:rsidRPr="00BB778D">
        <w:t xml:space="preserve">The </w:t>
      </w:r>
      <w:r>
        <w:t>next logical question is what rational</w:t>
      </w:r>
      <w:r w:rsidR="006879AD">
        <w:t>e</w:t>
      </w:r>
      <w:r>
        <w:t xml:space="preserve"> was used to waive these </w:t>
      </w:r>
      <w:r w:rsidR="004115EC">
        <w:t xml:space="preserve">entire </w:t>
      </w:r>
      <w:r>
        <w:t>categories of pharmacological safety testing.</w:t>
      </w:r>
    </w:p>
    <w:p w14:paraId="422138DF" w14:textId="7960189A" w:rsidR="00BB778D" w:rsidRDefault="00BB778D" w:rsidP="00C63B60"/>
    <w:p w14:paraId="769CCE9E" w14:textId="77777777" w:rsidR="00DE5A61" w:rsidRPr="00BB778D" w:rsidRDefault="00DE5A61" w:rsidP="00C63B60"/>
    <w:p w14:paraId="62625718" w14:textId="3ED1D3F3" w:rsidR="004C3D8E" w:rsidRDefault="008A4D9E" w:rsidP="00487C8F">
      <w:r>
        <w:rPr>
          <w:b/>
          <w:bCs/>
        </w:rPr>
        <w:lastRenderedPageBreak/>
        <w:t xml:space="preserve">Finding </w:t>
      </w:r>
      <w:r w:rsidR="001116E0">
        <w:rPr>
          <w:b/>
          <w:bCs/>
        </w:rPr>
        <w:t>6</w:t>
      </w:r>
      <w:r>
        <w:rPr>
          <w:b/>
          <w:bCs/>
        </w:rPr>
        <w:t xml:space="preserve">: Pfizer </w:t>
      </w:r>
      <w:r w:rsidR="00AA106C">
        <w:rPr>
          <w:b/>
          <w:bCs/>
        </w:rPr>
        <w:t>u</w:t>
      </w:r>
      <w:r>
        <w:rPr>
          <w:b/>
          <w:bCs/>
        </w:rPr>
        <w:t xml:space="preserve">sed </w:t>
      </w:r>
      <w:r w:rsidR="00AA106C">
        <w:rPr>
          <w:b/>
          <w:bCs/>
        </w:rPr>
        <w:t>d</w:t>
      </w:r>
      <w:r>
        <w:rPr>
          <w:b/>
          <w:bCs/>
        </w:rPr>
        <w:t xml:space="preserve">ishonest and </w:t>
      </w:r>
      <w:r w:rsidR="00AA106C">
        <w:rPr>
          <w:b/>
          <w:bCs/>
        </w:rPr>
        <w:t>s</w:t>
      </w:r>
      <w:r>
        <w:rPr>
          <w:b/>
          <w:bCs/>
        </w:rPr>
        <w:t>elf-</w:t>
      </w:r>
      <w:r w:rsidR="00AA106C">
        <w:rPr>
          <w:b/>
          <w:bCs/>
        </w:rPr>
        <w:t>s</w:t>
      </w:r>
      <w:r>
        <w:rPr>
          <w:b/>
          <w:bCs/>
        </w:rPr>
        <w:t xml:space="preserve">erving </w:t>
      </w:r>
      <w:r w:rsidR="00AA106C">
        <w:rPr>
          <w:b/>
          <w:bCs/>
        </w:rPr>
        <w:t>i</w:t>
      </w:r>
      <w:r>
        <w:rPr>
          <w:b/>
          <w:bCs/>
        </w:rPr>
        <w:t xml:space="preserve">nterpretation of </w:t>
      </w:r>
      <w:r w:rsidR="00AA106C">
        <w:rPr>
          <w:b/>
          <w:bCs/>
        </w:rPr>
        <w:t>r</w:t>
      </w:r>
      <w:r>
        <w:rPr>
          <w:b/>
          <w:bCs/>
        </w:rPr>
        <w:t xml:space="preserve">egulatory </w:t>
      </w:r>
      <w:r w:rsidR="00AA106C">
        <w:rPr>
          <w:b/>
          <w:bCs/>
        </w:rPr>
        <w:t>g</w:t>
      </w:r>
      <w:r>
        <w:rPr>
          <w:b/>
          <w:bCs/>
        </w:rPr>
        <w:t>uidelines</w:t>
      </w:r>
      <w:r w:rsidR="00BB778D">
        <w:rPr>
          <w:b/>
          <w:bCs/>
        </w:rPr>
        <w:t xml:space="preserve"> </w:t>
      </w:r>
      <w:r>
        <w:rPr>
          <w:b/>
          <w:bCs/>
        </w:rPr>
        <w:t xml:space="preserve">to </w:t>
      </w:r>
      <w:r w:rsidR="00AA106C">
        <w:rPr>
          <w:b/>
          <w:bCs/>
        </w:rPr>
        <w:t>avoid routine s</w:t>
      </w:r>
      <w:r>
        <w:rPr>
          <w:b/>
          <w:bCs/>
        </w:rPr>
        <w:t xml:space="preserve">afety </w:t>
      </w:r>
      <w:r w:rsidR="00AA106C">
        <w:rPr>
          <w:b/>
          <w:bCs/>
        </w:rPr>
        <w:t>t</w:t>
      </w:r>
      <w:r>
        <w:rPr>
          <w:b/>
          <w:bCs/>
        </w:rPr>
        <w:t>esting.</w:t>
      </w:r>
    </w:p>
    <w:p w14:paraId="35C4B290" w14:textId="631B62A7" w:rsidR="00805569" w:rsidRDefault="00CD2B47">
      <w:r>
        <w:t xml:space="preserve">Numerous mechanisms injury </w:t>
      </w:r>
      <w:r w:rsidR="004C3D8E">
        <w:t>on major organ systems</w:t>
      </w:r>
      <w:r w:rsidR="00A81A6E">
        <w:rPr>
          <w:rStyle w:val="FootnoteReference"/>
        </w:rPr>
        <w:footnoteReference w:id="10"/>
      </w:r>
      <w:r w:rsidR="004C3D8E">
        <w:t>,</w:t>
      </w:r>
      <w:r>
        <w:rPr>
          <w:rStyle w:val="FootnoteReference"/>
        </w:rPr>
        <w:footnoteReference w:id="11"/>
      </w:r>
      <w:r>
        <w:t>,</w:t>
      </w:r>
      <w:r>
        <w:rPr>
          <w:rStyle w:val="FootnoteReference"/>
        </w:rPr>
        <w:footnoteReference w:id="12"/>
      </w:r>
      <w:r>
        <w:t>,</w:t>
      </w:r>
      <w:r>
        <w:rPr>
          <w:rStyle w:val="FootnoteReference"/>
        </w:rPr>
        <w:footnoteReference w:id="13"/>
      </w:r>
      <w:r w:rsidR="004C3D8E">
        <w:t xml:space="preserve"> </w:t>
      </w:r>
      <w:r w:rsidR="00A81A6E">
        <w:t>as well as previous failed animal experiments with mRNA platform</w:t>
      </w:r>
      <w:r>
        <w:t xml:space="preserve"> were documented</w:t>
      </w:r>
      <w:r w:rsidR="006D1AB5">
        <w:rPr>
          <w:rStyle w:val="FootnoteReference"/>
        </w:rPr>
        <w:footnoteReference w:id="14"/>
      </w:r>
      <w:r w:rsidR="006D1AB5">
        <w:t>,</w:t>
      </w:r>
      <w:r w:rsidR="006D1AB5">
        <w:rPr>
          <w:rStyle w:val="FootnoteReference"/>
        </w:rPr>
        <w:footnoteReference w:id="15"/>
      </w:r>
      <w:r w:rsidR="00A81A6E">
        <w:t xml:space="preserve"> </w:t>
      </w:r>
      <w:r w:rsidR="00523F75">
        <w:t xml:space="preserve">yet </w:t>
      </w:r>
      <w:r w:rsidR="004C3D8E">
        <w:t xml:space="preserve">Pfizer claimed to the FDA that Safety Pharmacology, Secondary Pharmacodynamic, Genotoxicity or Carcinogenicity studies were not necessary for their product, and as justification of this claim, Pfizer cited World Health Organization’s Guidelines for Vaccine Development from 2005.   </w:t>
      </w:r>
    </w:p>
    <w:p w14:paraId="4AFDF48B" w14:textId="21C294F4" w:rsidR="00943B79" w:rsidRDefault="00BA3E94">
      <w:r>
        <w:t>Pfizer’s product was only</w:t>
      </w:r>
      <w:r w:rsidR="00DE5A61">
        <w:t xml:space="preserve"> arbitrarily</w:t>
      </w:r>
      <w:r>
        <w:t xml:space="preserve"> reclassified as a vaccine in 2020. Prior to that it was c</w:t>
      </w:r>
      <w:r w:rsidR="000E6A61">
        <w:t>ategorized</w:t>
      </w:r>
      <w:r>
        <w:t xml:space="preserve"> as a gene therapy, so back in 2005 when the WHO guidelines were written, it would </w:t>
      </w:r>
      <w:r w:rsidR="00A64B51">
        <w:t>not</w:t>
      </w:r>
      <w:r>
        <w:t xml:space="preserve"> have been regarded as a vaccine.</w:t>
      </w:r>
      <w:r w:rsidR="006D1AB5">
        <w:t xml:space="preserve">  Furthermore, 2005 recommendations from WHO did not </w:t>
      </w:r>
      <w:r w:rsidR="00BE4C22">
        <w:t xml:space="preserve">anticipate gene therapy platforms.  Additionally, it is the responsibility of the FDA and other regulatory bodies worldwide to regulate the authorization and licensing of medical products.  WHO does not have this authority as it is only an advisory and coordination non-governmental body. </w:t>
      </w:r>
    </w:p>
    <w:p w14:paraId="40D906FE" w14:textId="77777777" w:rsidR="00523F75" w:rsidRDefault="00523F75"/>
    <w:p w14:paraId="1FB3A3B0" w14:textId="53BF9016" w:rsidR="00943B79" w:rsidRPr="00BE4C22" w:rsidRDefault="004C3D8E" w:rsidP="00943B79">
      <w:pPr>
        <w:rPr>
          <w:u w:val="single"/>
        </w:rPr>
      </w:pPr>
      <w:r w:rsidRPr="00BE4C22">
        <w:rPr>
          <w:u w:val="single"/>
        </w:rPr>
        <w:t xml:space="preserve">What Do WHO </w:t>
      </w:r>
      <w:r w:rsidR="00BE4C22">
        <w:rPr>
          <w:u w:val="single"/>
        </w:rPr>
        <w:t>Recommendations</w:t>
      </w:r>
      <w:r w:rsidRPr="00BE4C22">
        <w:rPr>
          <w:u w:val="single"/>
        </w:rPr>
        <w:t xml:space="preserve"> from 2005 Really State?</w:t>
      </w:r>
    </w:p>
    <w:p w14:paraId="499B5EB8" w14:textId="191EB0E9" w:rsidR="00943B79" w:rsidRDefault="00943B79" w:rsidP="00943B79">
      <w:r>
        <w:t>WHO Guidelines</w:t>
      </w:r>
      <w:r w:rsidR="00BE4C22">
        <w:rPr>
          <w:rStyle w:val="FootnoteReference"/>
        </w:rPr>
        <w:footnoteReference w:id="16"/>
      </w:r>
      <w:r>
        <w:t xml:space="preserve"> on nonclinical evaluation of vaccines </w:t>
      </w:r>
      <w:r w:rsidR="004C3D8E">
        <w:t>state</w:t>
      </w:r>
      <w:r>
        <w:t xml:space="preserve"> that PK studies are not normally needed but should be considered on a case-by-case basis (para 4.2.6), and toxicity studies should be performed where new excipients (and preservatives) are used for which no toxicological data exist (para 5.2).</w:t>
      </w:r>
    </w:p>
    <w:p w14:paraId="730FB4A8" w14:textId="625CB005" w:rsidR="00A64B51" w:rsidRDefault="00A64B51" w:rsidP="00943B79">
      <w:r>
        <w:t xml:space="preserve">Para </w:t>
      </w:r>
      <w:r w:rsidRPr="00A64B51">
        <w:t xml:space="preserve">4.2.4 </w:t>
      </w:r>
      <w:r>
        <w:t>states: “</w:t>
      </w:r>
      <w:r w:rsidRPr="00A64B51">
        <w:t>Safety pharmacology</w:t>
      </w:r>
      <w:r>
        <w:t>.</w:t>
      </w:r>
      <w:r w:rsidRPr="00A64B51">
        <w:t xml:space="preserve"> The purpose of safety pharmacology is to investigate the effects of the candidate vaccine on vital functions. If data from nonclinical and/or human clinical studies suggest that the vaccine (e.g. one based on specific toxoids) may affect physiological functions (e.g. central nervous system, respiratory, cardiovascular and renal functions) other than those of the immune system, safety pharmacology studies should be incorporated into the toxicity assessment. Useful information on this topic can be found in the Note for Guidance on safety pharmacology studies for human pharmaceuticals</w:t>
      </w:r>
      <w:r>
        <w:t>”</w:t>
      </w:r>
    </w:p>
    <w:p w14:paraId="0D48FEB4" w14:textId="05670E60" w:rsidR="008F3857" w:rsidRDefault="00A64B51" w:rsidP="00A541DF">
      <w:r>
        <w:t xml:space="preserve">Also of note, the FDA Guidance </w:t>
      </w:r>
      <w:r w:rsidR="00A541DF">
        <w:t xml:space="preserve">Preclinical Assessment of Investigational Cellular and Gene Therapy Products </w:t>
      </w:r>
      <w:r>
        <w:t>(2013)</w:t>
      </w:r>
      <w:r w:rsidR="00A541DF">
        <w:t xml:space="preserve"> states</w:t>
      </w:r>
      <w:r w:rsidR="00BD4F14">
        <w:t xml:space="preserve"> that for investigational gene therapy vaccines the following guidelines should be used</w:t>
      </w:r>
      <w:r w:rsidR="00A541DF">
        <w:t xml:space="preserve">: </w:t>
      </w:r>
    </w:p>
    <w:p w14:paraId="3EAF4460" w14:textId="16ED09F7" w:rsidR="00943B79" w:rsidRPr="00CD2B47" w:rsidRDefault="008F3857" w:rsidP="00943B79">
      <w:pPr>
        <w:rPr>
          <w:i/>
          <w:iCs/>
        </w:rPr>
      </w:pPr>
      <w:r w:rsidRPr="00CD2B47">
        <w:rPr>
          <w:i/>
          <w:iCs/>
        </w:rPr>
        <w:t>“</w:t>
      </w:r>
      <w:r w:rsidR="00391E57" w:rsidRPr="00CD2B47">
        <w:rPr>
          <w:i/>
          <w:iCs/>
        </w:rPr>
        <w:t>Use of in vitro studies is strongly encouraged for identification of potential safety issues and MOA of an investigational CGT product. However, this testing alone is not sufficient to reliably anticipate the outcome of physiological and functional integration of the product following in vivo administration. Accordingly, the preclinical testing program should incorporate a stepwise, multifactorial approach to achieve an understanding of the biological plausibility for use of the investigational CGT product in the intended patient population.  For in vivo preclinical testing, the use of animal models of disease/injury is encouraged, as such studies allow for the characterization of resulting morphological changes in conjunction with observable functional/</w:t>
      </w:r>
      <w:r w:rsidR="004F7C11" w:rsidRPr="00CD2B47">
        <w:rPr>
          <w:i/>
          <w:iCs/>
        </w:rPr>
        <w:t>behavioural</w:t>
      </w:r>
      <w:r w:rsidR="00391E57" w:rsidRPr="00CD2B47">
        <w:rPr>
          <w:i/>
          <w:iCs/>
        </w:rPr>
        <w:t xml:space="preserve"> changes.”</w:t>
      </w:r>
    </w:p>
    <w:p w14:paraId="6531CC25" w14:textId="374E601F" w:rsidR="000660B4" w:rsidRDefault="000660B4" w:rsidP="00AF1C25">
      <w:r>
        <w:t>Pfizer’s Non-Clinical document states that it considered FDA’s “Development and Licensure of Vaccines to Prevent COVID-19 Guidance for Industry” (2020)</w:t>
      </w:r>
      <w:r>
        <w:rPr>
          <w:rStyle w:val="FootnoteReference"/>
        </w:rPr>
        <w:footnoteReference w:id="17"/>
      </w:r>
      <w:r>
        <w:t xml:space="preserve">. </w:t>
      </w:r>
      <w:r w:rsidR="00FF5F4B">
        <w:t xml:space="preserve">It’s not clear that any consideration of this document in fact took </w:t>
      </w:r>
      <w:r w:rsidR="00AB22CD">
        <w:t>place since</w:t>
      </w:r>
      <w:r w:rsidR="00FF5F4B">
        <w:t xml:space="preserve"> none of the </w:t>
      </w:r>
      <w:r w:rsidR="00AB22CD">
        <w:t xml:space="preserve">recommendations from the FDA guidance were utilized in Pfizer’s nonclinical assessments.  </w:t>
      </w:r>
      <w:r w:rsidR="00FF5F4B">
        <w:t>It’s worth asking why the WHO recommendations from 2005 and not FDA industry guidance document from 2020 was used as the basis for design of the non-clinical testing program</w:t>
      </w:r>
      <w:r w:rsidR="001116E0">
        <w:t>?</w:t>
      </w:r>
      <w:r w:rsidR="00FF5F4B">
        <w:t xml:space="preserve">  Specifically, t</w:t>
      </w:r>
      <w:r>
        <w:t>he</w:t>
      </w:r>
      <w:r w:rsidR="00FF5F4B">
        <w:t xml:space="preserve"> FDA</w:t>
      </w:r>
      <w:r>
        <w:t xml:space="preserve"> guidance clearly states that:</w:t>
      </w:r>
    </w:p>
    <w:p w14:paraId="179357AB" w14:textId="69C02E8E" w:rsidR="000660B4" w:rsidRDefault="000660B4" w:rsidP="000660B4">
      <w:pPr>
        <w:rPr>
          <w:i/>
          <w:iCs/>
        </w:rPr>
      </w:pPr>
      <w:r w:rsidRPr="000660B4">
        <w:rPr>
          <w:i/>
          <w:iCs/>
        </w:rPr>
        <w:lastRenderedPageBreak/>
        <w:t>“For a COVID-19 vaccine candidate consisting of a novel product type and for which no prior nonclinical and clinical data are available, nonclinical safety studies will be required prior to proceeding to FIH clinical trials 21 CFR 312.23(a)(8).”</w:t>
      </w:r>
    </w:p>
    <w:p w14:paraId="0CC6E178" w14:textId="0F2ECE5C" w:rsidR="00AB22CD" w:rsidRPr="00AB22CD" w:rsidRDefault="00AB22CD" w:rsidP="000660B4">
      <w:r>
        <w:t>FDA specifically expresses concern about the vaccine-associated enhanced respiratory disease and the need to characterize/exclude the risk with the novel vaccine product:</w:t>
      </w:r>
    </w:p>
    <w:p w14:paraId="588A6B7C" w14:textId="055CB65F" w:rsidR="00FF5F4B" w:rsidRDefault="00FF5F4B" w:rsidP="00FF5F4B">
      <w:pPr>
        <w:rPr>
          <w:i/>
          <w:iCs/>
        </w:rPr>
      </w:pPr>
      <w:r>
        <w:rPr>
          <w:i/>
          <w:iCs/>
        </w:rPr>
        <w:t>“</w:t>
      </w:r>
      <w:r w:rsidRPr="00FF5F4B">
        <w:rPr>
          <w:i/>
          <w:iCs/>
        </w:rPr>
        <w:t>Data from studies in animal models administered certain vaccine constructs</w:t>
      </w:r>
      <w:r>
        <w:rPr>
          <w:i/>
          <w:iCs/>
        </w:rPr>
        <w:t xml:space="preserve"> </w:t>
      </w:r>
      <w:r w:rsidRPr="00FF5F4B">
        <w:rPr>
          <w:i/>
          <w:iCs/>
        </w:rPr>
        <w:t>against other coronaviruses (SARS-</w:t>
      </w:r>
      <w:proofErr w:type="spellStart"/>
      <w:r w:rsidRPr="00FF5F4B">
        <w:rPr>
          <w:i/>
          <w:iCs/>
        </w:rPr>
        <w:t>CoV</w:t>
      </w:r>
      <w:proofErr w:type="spellEnd"/>
      <w:r w:rsidRPr="00FF5F4B">
        <w:rPr>
          <w:i/>
          <w:iCs/>
        </w:rPr>
        <w:t xml:space="preserve"> and MERS-</w:t>
      </w:r>
      <w:proofErr w:type="spellStart"/>
      <w:r w:rsidRPr="00FF5F4B">
        <w:rPr>
          <w:i/>
          <w:iCs/>
        </w:rPr>
        <w:t>CoV</w:t>
      </w:r>
      <w:proofErr w:type="spellEnd"/>
      <w:r w:rsidRPr="00FF5F4B">
        <w:rPr>
          <w:i/>
          <w:iCs/>
        </w:rPr>
        <w:t>) have raised concerns of</w:t>
      </w:r>
      <w:r>
        <w:rPr>
          <w:i/>
          <w:iCs/>
        </w:rPr>
        <w:t xml:space="preserve"> </w:t>
      </w:r>
      <w:r w:rsidRPr="00FF5F4B">
        <w:rPr>
          <w:i/>
          <w:iCs/>
        </w:rPr>
        <w:t>a theoretical risk for COVID-19 vaccine-associated enhanced respiratory disease</w:t>
      </w:r>
      <w:r>
        <w:rPr>
          <w:i/>
          <w:iCs/>
        </w:rPr>
        <w:t xml:space="preserve"> </w:t>
      </w:r>
      <w:r w:rsidRPr="00FF5F4B">
        <w:rPr>
          <w:i/>
          <w:iCs/>
        </w:rPr>
        <w:t>(ERD). In these studies, animal models were administered vaccine constructs</w:t>
      </w:r>
      <w:r>
        <w:rPr>
          <w:i/>
          <w:iCs/>
        </w:rPr>
        <w:t xml:space="preserve"> </w:t>
      </w:r>
      <w:r w:rsidRPr="00FF5F4B">
        <w:rPr>
          <w:i/>
          <w:iCs/>
        </w:rPr>
        <w:t>against other coronaviruses and subsequently challenged with the respective wildtype virus. These studies have shown evidence of immunopathologic lung</w:t>
      </w:r>
      <w:r>
        <w:rPr>
          <w:i/>
          <w:iCs/>
        </w:rPr>
        <w:t xml:space="preserve"> </w:t>
      </w:r>
      <w:r w:rsidRPr="00FF5F4B">
        <w:rPr>
          <w:i/>
          <w:iCs/>
        </w:rPr>
        <w:t>reactions characteristic of a Th-2 type hypersensitivity similar to ERD described</w:t>
      </w:r>
      <w:r>
        <w:rPr>
          <w:i/>
          <w:iCs/>
        </w:rPr>
        <w:t xml:space="preserve"> </w:t>
      </w:r>
      <w:r w:rsidRPr="00FF5F4B">
        <w:rPr>
          <w:i/>
          <w:iCs/>
        </w:rPr>
        <w:t>in infants and animals that were administered formalin-inactivated respiratory</w:t>
      </w:r>
      <w:r>
        <w:rPr>
          <w:i/>
          <w:iCs/>
        </w:rPr>
        <w:t xml:space="preserve"> </w:t>
      </w:r>
      <w:r w:rsidRPr="00FF5F4B">
        <w:rPr>
          <w:i/>
          <w:iCs/>
        </w:rPr>
        <w:t>syncytial virus (RSV) vaccine and that were subsequently challenged with RSV</w:t>
      </w:r>
      <w:r>
        <w:rPr>
          <w:i/>
          <w:iCs/>
        </w:rPr>
        <w:t xml:space="preserve"> </w:t>
      </w:r>
      <w:r w:rsidRPr="00FF5F4B">
        <w:rPr>
          <w:i/>
          <w:iCs/>
        </w:rPr>
        <w:t>virus due to natural exposure or in the laboratory, respectively (Refs. 4-9).</w:t>
      </w:r>
      <w:r>
        <w:rPr>
          <w:i/>
          <w:iCs/>
        </w:rPr>
        <w:t xml:space="preserve"> </w:t>
      </w:r>
      <w:r w:rsidRPr="00FF5F4B">
        <w:rPr>
          <w:i/>
          <w:iCs/>
        </w:rPr>
        <w:t>Vaccine candidates should be assessed in light of these studies</w:t>
      </w:r>
      <w:r>
        <w:rPr>
          <w:i/>
          <w:iCs/>
        </w:rPr>
        <w:t>…”</w:t>
      </w:r>
    </w:p>
    <w:p w14:paraId="2BD1412C" w14:textId="538FAA00" w:rsidR="00FF5F4B" w:rsidRPr="00AB22CD" w:rsidRDefault="001116E0" w:rsidP="000660B4">
      <w:r>
        <w:t>Given</w:t>
      </w:r>
      <w:r w:rsidR="00AB22CD">
        <w:t xml:space="preserve"> this knowledge</w:t>
      </w:r>
      <w:r>
        <w:t xml:space="preserve"> of potential for disease enhancement,</w:t>
      </w:r>
      <w:r w:rsidR="00AB22CD">
        <w:t xml:space="preserve"> it is even more puzzling that Pfizer chose to disregard these guidelines, and FDA chose to ignore this disregard.    </w:t>
      </w:r>
    </w:p>
    <w:p w14:paraId="6778BF3E" w14:textId="4921F706" w:rsidR="00FF5F4B" w:rsidRPr="00BB105C" w:rsidRDefault="00BB105C" w:rsidP="000660B4">
      <w:r>
        <w:t>One paragraph from the guidance document describing when nonclinical safety studies might be waived caught my attention:</w:t>
      </w:r>
    </w:p>
    <w:p w14:paraId="2A56D3CB" w14:textId="1A69EB99" w:rsidR="00FF5F4B" w:rsidRDefault="00BB105C" w:rsidP="00FF5F4B">
      <w:pPr>
        <w:rPr>
          <w:i/>
          <w:iCs/>
        </w:rPr>
      </w:pPr>
      <w:r>
        <w:rPr>
          <w:i/>
          <w:iCs/>
        </w:rPr>
        <w:t>“</w:t>
      </w:r>
      <w:r w:rsidR="00FF5F4B" w:rsidRPr="00FF5F4B">
        <w:rPr>
          <w:i/>
          <w:iCs/>
        </w:rPr>
        <w:t>In some cases, it may not be necessary to perform nonclinical safety studies prior</w:t>
      </w:r>
      <w:r>
        <w:rPr>
          <w:i/>
          <w:iCs/>
        </w:rPr>
        <w:t xml:space="preserve"> </w:t>
      </w:r>
      <w:r w:rsidR="00FF5F4B" w:rsidRPr="00FF5F4B">
        <w:rPr>
          <w:i/>
          <w:iCs/>
        </w:rPr>
        <w:t>to FIH clinical trials because adequate information to characterize product safety</w:t>
      </w:r>
      <w:r>
        <w:rPr>
          <w:i/>
          <w:iCs/>
        </w:rPr>
        <w:t xml:space="preserve"> </w:t>
      </w:r>
      <w:r w:rsidR="00FF5F4B" w:rsidRPr="00FF5F4B">
        <w:rPr>
          <w:i/>
          <w:iCs/>
        </w:rPr>
        <w:t>may be available from other sources. For example, if the COVID-19 vaccine</w:t>
      </w:r>
      <w:r>
        <w:rPr>
          <w:i/>
          <w:iCs/>
        </w:rPr>
        <w:t xml:space="preserve"> </w:t>
      </w:r>
      <w:r w:rsidR="00FF5F4B" w:rsidRPr="00FF5F4B">
        <w:rPr>
          <w:i/>
          <w:iCs/>
        </w:rPr>
        <w:t>candidate is made using a platform technology utilized to manufacture a licensed</w:t>
      </w:r>
      <w:r>
        <w:rPr>
          <w:i/>
          <w:iCs/>
        </w:rPr>
        <w:t xml:space="preserve"> </w:t>
      </w:r>
      <w:r w:rsidR="00FF5F4B" w:rsidRPr="00FF5F4B">
        <w:rPr>
          <w:i/>
          <w:iCs/>
        </w:rPr>
        <w:t>vaccine or other previously studied investigational vaccines and is sufficiently</w:t>
      </w:r>
      <w:r>
        <w:rPr>
          <w:i/>
          <w:iCs/>
        </w:rPr>
        <w:t xml:space="preserve"> </w:t>
      </w:r>
      <w:r w:rsidR="00FF5F4B" w:rsidRPr="00FF5F4B">
        <w:rPr>
          <w:i/>
          <w:iCs/>
        </w:rPr>
        <w:t>characterized, it may be possible to use toxicology data (e.g., data from repeat</w:t>
      </w:r>
      <w:r>
        <w:rPr>
          <w:i/>
          <w:iCs/>
        </w:rPr>
        <w:t xml:space="preserve"> </w:t>
      </w:r>
      <w:r w:rsidR="00FF5F4B" w:rsidRPr="00FF5F4B">
        <w:rPr>
          <w:i/>
          <w:iCs/>
        </w:rPr>
        <w:t>dose toxicity studies, biodistribution studies) and clinical data accrued with other</w:t>
      </w:r>
      <w:r>
        <w:rPr>
          <w:i/>
          <w:iCs/>
        </w:rPr>
        <w:t xml:space="preserve"> </w:t>
      </w:r>
      <w:r w:rsidR="00FF5F4B" w:rsidRPr="00FF5F4B">
        <w:rPr>
          <w:i/>
          <w:iCs/>
        </w:rPr>
        <w:t>products using the same platform to support FIH clinical trials for that COVID-19</w:t>
      </w:r>
      <w:r>
        <w:rPr>
          <w:i/>
          <w:iCs/>
        </w:rPr>
        <w:t xml:space="preserve"> </w:t>
      </w:r>
      <w:r w:rsidR="00FF5F4B" w:rsidRPr="00FF5F4B">
        <w:rPr>
          <w:i/>
          <w:iCs/>
        </w:rPr>
        <w:t>vaccine candidate. Vaccine manufacturers should summarize the findings and</w:t>
      </w:r>
      <w:r>
        <w:rPr>
          <w:i/>
          <w:iCs/>
        </w:rPr>
        <w:t xml:space="preserve"> </w:t>
      </w:r>
      <w:r w:rsidR="00FF5F4B" w:rsidRPr="00FF5F4B">
        <w:rPr>
          <w:i/>
          <w:iCs/>
        </w:rPr>
        <w:t>provide a rationale if considering using these data in lieu of performing</w:t>
      </w:r>
      <w:r>
        <w:rPr>
          <w:i/>
          <w:iCs/>
        </w:rPr>
        <w:t xml:space="preserve"> </w:t>
      </w:r>
      <w:r w:rsidR="00FF5F4B" w:rsidRPr="00FF5F4B">
        <w:rPr>
          <w:i/>
          <w:iCs/>
        </w:rPr>
        <w:t>nonclinical safety studies.</w:t>
      </w:r>
      <w:r>
        <w:rPr>
          <w:i/>
          <w:iCs/>
        </w:rPr>
        <w:t>”</w:t>
      </w:r>
    </w:p>
    <w:p w14:paraId="6C800E24" w14:textId="42167779" w:rsidR="00BB105C" w:rsidRPr="00BB105C" w:rsidRDefault="00BB105C" w:rsidP="00FF5F4B">
      <w:r>
        <w:t>I</w:t>
      </w:r>
      <w:r w:rsidR="00D81C31">
        <w:t>t made my antennae go up.  I</w:t>
      </w:r>
      <w:r>
        <w:t xml:space="preserve"> am possibly jaded by the experience of </w:t>
      </w:r>
      <w:r w:rsidR="00D81C31">
        <w:t>government health authorities continuously lying, misrepresenting data, suppressing dissenting opinion and open scientific debate</w:t>
      </w:r>
      <w:r w:rsidR="001116E0">
        <w:t xml:space="preserve"> in the past few years</w:t>
      </w:r>
      <w:r w:rsidR="00D81C31">
        <w:t xml:space="preserve">.  Nevertheless, I am questioning whether this paragraph is inserted to provide Pfizer and Moderna the future “out” of safety testing claiming their products are derivatives of “approved safe products” while erecting a </w:t>
      </w:r>
      <w:r w:rsidR="003A6CAB">
        <w:t>regulatory</w:t>
      </w:r>
      <w:r w:rsidR="00D81C31">
        <w:t xml:space="preserve"> barrier to other manufacturers who would </w:t>
      </w:r>
      <w:r w:rsidR="001116E0">
        <w:t>wish</w:t>
      </w:r>
      <w:r w:rsidR="00D81C31">
        <w:t xml:space="preserve"> to design a different Covid-19 vaccine?</w:t>
      </w:r>
    </w:p>
    <w:p w14:paraId="2A72F8AB" w14:textId="60E56118" w:rsidR="000660B4" w:rsidRDefault="000660B4" w:rsidP="00AF1C25"/>
    <w:p w14:paraId="2751AB85" w14:textId="77777777" w:rsidR="00C37B88" w:rsidRDefault="00A21FEC" w:rsidP="00AF1C25">
      <w:r>
        <w:t xml:space="preserve">Pfizer’s dishonest interpretation of guidelines and cherry-picking of the applicable regulations resulted in brazen disregard for all </w:t>
      </w:r>
      <w:r w:rsidR="009513D9">
        <w:t>routine</w:t>
      </w:r>
      <w:r>
        <w:t xml:space="preserve"> safety assessments.</w:t>
      </w:r>
      <w:r w:rsidR="00AF1C25">
        <w:t xml:space="preserve"> </w:t>
      </w:r>
    </w:p>
    <w:p w14:paraId="11B764AA" w14:textId="6490EFF0" w:rsidR="003D3E63" w:rsidRPr="00C37B88" w:rsidRDefault="003D3E63" w:rsidP="00AF1C25">
      <w:pPr>
        <w:rPr>
          <w:b/>
          <w:bCs/>
        </w:rPr>
      </w:pPr>
      <w:r w:rsidRPr="00C37B88">
        <w:rPr>
          <w:b/>
          <w:bCs/>
          <w:i/>
          <w:iCs/>
        </w:rPr>
        <w:t>It is unacceptable for a pharmaceutical manufacturer to not study their product for potential to harm ma</w:t>
      </w:r>
      <w:r w:rsidR="005D170A" w:rsidRPr="00C37B88">
        <w:rPr>
          <w:b/>
          <w:bCs/>
          <w:i/>
          <w:iCs/>
        </w:rPr>
        <w:t xml:space="preserve">jor organ systems, not acceptable to substitute the product with a surrogate or a different version, claim </w:t>
      </w:r>
      <w:r w:rsidR="009513D9" w:rsidRPr="00C37B88">
        <w:rPr>
          <w:b/>
          <w:bCs/>
          <w:i/>
          <w:iCs/>
        </w:rPr>
        <w:t xml:space="preserve">theoretical </w:t>
      </w:r>
      <w:r w:rsidR="005D170A" w:rsidRPr="00C37B88">
        <w:rPr>
          <w:b/>
          <w:bCs/>
          <w:i/>
          <w:iCs/>
        </w:rPr>
        <w:t>comparability, and then</w:t>
      </w:r>
      <w:r w:rsidRPr="00C37B88">
        <w:rPr>
          <w:b/>
          <w:bCs/>
          <w:i/>
          <w:iCs/>
        </w:rPr>
        <w:t xml:space="preserve"> assert that there are no risks to major human organ systems</w:t>
      </w:r>
      <w:r w:rsidR="005D170A" w:rsidRPr="00C37B88">
        <w:rPr>
          <w:b/>
          <w:bCs/>
          <w:i/>
          <w:iCs/>
        </w:rPr>
        <w:t>.  Absence of evidence is not evidence of absence</w:t>
      </w:r>
      <w:r w:rsidR="005D170A" w:rsidRPr="00C37B88">
        <w:rPr>
          <w:b/>
          <w:bCs/>
        </w:rPr>
        <w:t>!</w:t>
      </w:r>
    </w:p>
    <w:p w14:paraId="42E5D43A" w14:textId="28725454" w:rsidR="00061BEC" w:rsidRDefault="00A21FEC" w:rsidP="000C435D">
      <w:r>
        <w:t xml:space="preserve">The mandate of the </w:t>
      </w:r>
      <w:r w:rsidR="00AF1C25">
        <w:t xml:space="preserve">FDA </w:t>
      </w:r>
      <w:r>
        <w:t xml:space="preserve">as </w:t>
      </w:r>
      <w:r w:rsidR="009513D9">
        <w:t>the industry</w:t>
      </w:r>
      <w:r>
        <w:t xml:space="preserve"> regulator requires the agency to question and check such reckless disregard for safety testing.  An honest regulator </w:t>
      </w:r>
      <w:r w:rsidR="00AF1C25">
        <w:t xml:space="preserve">would </w:t>
      </w:r>
      <w:r w:rsidR="009513D9">
        <w:t xml:space="preserve">have </w:t>
      </w:r>
      <w:r w:rsidR="00AF1C25">
        <w:t>question</w:t>
      </w:r>
      <w:r w:rsidR="009513D9">
        <w:t>ed</w:t>
      </w:r>
      <w:r w:rsidR="00AF1C25">
        <w:t xml:space="preserve"> the assertion by the manufacturer that major categories of safety studies were not applicable to their product.</w:t>
      </w:r>
      <w:r>
        <w:t xml:space="preserve"> There is no question of incompetence.  The agency is staf</w:t>
      </w:r>
      <w:r w:rsidR="003D3E63">
        <w:t xml:space="preserve">fed with qualified and experienced </w:t>
      </w:r>
      <w:r w:rsidR="00C37B88">
        <w:t xml:space="preserve">pharmacology and </w:t>
      </w:r>
      <w:r w:rsidR="009513D9">
        <w:t xml:space="preserve">toxicology </w:t>
      </w:r>
      <w:r w:rsidR="003D3E63">
        <w:t>p</w:t>
      </w:r>
      <w:r w:rsidR="009513D9">
        <w:t>rofessionals</w:t>
      </w:r>
      <w:r w:rsidR="003D3E63">
        <w:t xml:space="preserve">.  At this point, with </w:t>
      </w:r>
      <w:r w:rsidR="009513D9">
        <w:t xml:space="preserve">millions of </w:t>
      </w:r>
      <w:r w:rsidR="003D3E63">
        <w:t xml:space="preserve">adverse event </w:t>
      </w:r>
      <w:r w:rsidR="009513D9">
        <w:t>reports</w:t>
      </w:r>
      <w:r w:rsidR="003D3E63">
        <w:t xml:space="preserve"> accumulating rapidly in every public health database, </w:t>
      </w:r>
      <w:r w:rsidR="009513D9">
        <w:t>neither the FDA, NIH, CDC, Pfizer nor other manufacturers can claim ignorance of these issues.  T</w:t>
      </w:r>
      <w:r w:rsidR="003D3E63">
        <w:t xml:space="preserve">he question of wilful negligence by both </w:t>
      </w:r>
      <w:r w:rsidR="000C435D">
        <w:t xml:space="preserve">the </w:t>
      </w:r>
      <w:r w:rsidR="003D3E63">
        <w:t xml:space="preserve">manufacturers and the regulators must be raised.  </w:t>
      </w:r>
    </w:p>
    <w:sectPr w:rsidR="00061BEC" w:rsidSect="0080556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C0AFE7" w14:textId="77777777" w:rsidR="00D35ABE" w:rsidRDefault="00D35ABE" w:rsidP="00B841DF">
      <w:pPr>
        <w:spacing w:after="0" w:line="240" w:lineRule="auto"/>
      </w:pPr>
      <w:r>
        <w:separator/>
      </w:r>
    </w:p>
  </w:endnote>
  <w:endnote w:type="continuationSeparator" w:id="0">
    <w:p w14:paraId="3DF8B5EE" w14:textId="77777777" w:rsidR="00D35ABE" w:rsidRDefault="00D35ABE" w:rsidP="00B841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D6054E" w14:textId="77777777" w:rsidR="00D35ABE" w:rsidRDefault="00D35ABE" w:rsidP="00B841DF">
      <w:pPr>
        <w:spacing w:after="0" w:line="240" w:lineRule="auto"/>
      </w:pPr>
      <w:r>
        <w:separator/>
      </w:r>
    </w:p>
  </w:footnote>
  <w:footnote w:type="continuationSeparator" w:id="0">
    <w:p w14:paraId="4AE34917" w14:textId="77777777" w:rsidR="00D35ABE" w:rsidRDefault="00D35ABE" w:rsidP="00B841DF">
      <w:pPr>
        <w:spacing w:after="0" w:line="240" w:lineRule="auto"/>
      </w:pPr>
      <w:r>
        <w:continuationSeparator/>
      </w:r>
    </w:p>
  </w:footnote>
  <w:footnote w:id="1">
    <w:p w14:paraId="17F05094" w14:textId="640FD827" w:rsidR="00B841DF" w:rsidRPr="00B841DF" w:rsidRDefault="00B841DF">
      <w:pPr>
        <w:pStyle w:val="FootnoteText"/>
        <w:rPr>
          <w:lang w:val="en-US"/>
        </w:rPr>
      </w:pPr>
      <w:r>
        <w:rPr>
          <w:rStyle w:val="FootnoteReference"/>
        </w:rPr>
        <w:footnoteRef/>
      </w:r>
      <w:r>
        <w:t xml:space="preserve"> </w:t>
      </w:r>
      <w:r w:rsidR="00840701" w:rsidRPr="00840701">
        <w:t>https://www.fda.gov/vaccines-blood-biologics/guidance-compliance-regulatory-information-biologics</w:t>
      </w:r>
    </w:p>
  </w:footnote>
  <w:footnote w:id="2">
    <w:p w14:paraId="1F3D731C" w14:textId="77777777" w:rsidR="00671C9A" w:rsidRDefault="00671C9A" w:rsidP="00671C9A">
      <w:pPr>
        <w:pStyle w:val="FootnoteText"/>
      </w:pPr>
      <w:r>
        <w:rPr>
          <w:rStyle w:val="FootnoteReference"/>
        </w:rPr>
        <w:footnoteRef/>
      </w:r>
      <w:r>
        <w:t xml:space="preserve"> FDA FOIA Request 2021-4379; Judicial Watch, Inc. v. U.S. Department of Health and </w:t>
      </w:r>
    </w:p>
    <w:p w14:paraId="7636BEF3" w14:textId="1375A8E7" w:rsidR="00671C9A" w:rsidRPr="00671C9A" w:rsidRDefault="00671C9A" w:rsidP="00671C9A">
      <w:pPr>
        <w:pStyle w:val="FootnoteText"/>
        <w:rPr>
          <w:lang w:val="en-US"/>
        </w:rPr>
      </w:pPr>
      <w:r>
        <w:t>Human Services, 21-cv-2418</w:t>
      </w:r>
    </w:p>
  </w:footnote>
  <w:footnote w:id="3">
    <w:p w14:paraId="0C6E635B" w14:textId="0B1AE7AB" w:rsidR="0085240A" w:rsidRPr="0085240A" w:rsidRDefault="0085240A" w:rsidP="0085240A">
      <w:pPr>
        <w:pStyle w:val="FootnoteText"/>
        <w:rPr>
          <w:lang w:val="en-US"/>
        </w:rPr>
      </w:pPr>
      <w:r>
        <w:rPr>
          <w:rStyle w:val="FootnoteReference"/>
        </w:rPr>
        <w:footnoteRef/>
      </w:r>
      <w:r>
        <w:t xml:space="preserve"> </w:t>
      </w:r>
      <w:r>
        <w:rPr>
          <w:lang w:val="en-US"/>
        </w:rPr>
        <w:t xml:space="preserve">FDA Guidance for Industry: </w:t>
      </w:r>
      <w:r w:rsidRPr="0085240A">
        <w:rPr>
          <w:lang w:val="en-US"/>
        </w:rPr>
        <w:t>Principles of Premarket</w:t>
      </w:r>
      <w:r>
        <w:rPr>
          <w:lang w:val="en-US"/>
        </w:rPr>
        <w:t xml:space="preserve"> </w:t>
      </w:r>
      <w:r w:rsidRPr="0085240A">
        <w:rPr>
          <w:lang w:val="en-US"/>
        </w:rPr>
        <w:t>Pathways for</w:t>
      </w:r>
      <w:r>
        <w:rPr>
          <w:lang w:val="en-US"/>
        </w:rPr>
        <w:t xml:space="preserve"> </w:t>
      </w:r>
      <w:r w:rsidRPr="0085240A">
        <w:rPr>
          <w:lang w:val="en-US"/>
        </w:rPr>
        <w:t>Combination Products</w:t>
      </w:r>
      <w:r>
        <w:rPr>
          <w:lang w:val="en-US"/>
        </w:rPr>
        <w:t xml:space="preserve">, January 2022   </w:t>
      </w:r>
      <w:r w:rsidRPr="0085240A">
        <w:rPr>
          <w:lang w:val="en-US"/>
        </w:rPr>
        <w:t>https://www.fda.gov/media/119958/download</w:t>
      </w:r>
    </w:p>
  </w:footnote>
  <w:footnote w:id="4">
    <w:p w14:paraId="0813E83E" w14:textId="61F07093" w:rsidR="00F5469F" w:rsidRPr="00F5469F" w:rsidRDefault="00F5469F" w:rsidP="00752721">
      <w:pPr>
        <w:pStyle w:val="FootnoteText"/>
        <w:rPr>
          <w:lang w:val="en-US"/>
        </w:rPr>
      </w:pPr>
      <w:r>
        <w:rPr>
          <w:rStyle w:val="FootnoteReference"/>
        </w:rPr>
        <w:footnoteRef/>
      </w:r>
      <w:r>
        <w:t xml:space="preserve"> </w:t>
      </w:r>
      <w:r>
        <w:rPr>
          <w:lang w:val="en-US"/>
        </w:rPr>
        <w:t xml:space="preserve">GLP = </w:t>
      </w:r>
      <w:r w:rsidR="00752721" w:rsidRPr="00752721">
        <w:rPr>
          <w:lang w:val="en-US"/>
        </w:rPr>
        <w:t>Good Laboratory Practice for Nonclinical Laboratory Studies, Code of US Federal Regulations (21 CFR Part 58)</w:t>
      </w:r>
      <w:r w:rsidR="00752721">
        <w:rPr>
          <w:lang w:val="en-US"/>
        </w:rPr>
        <w:t>.</w:t>
      </w:r>
    </w:p>
  </w:footnote>
  <w:footnote w:id="5">
    <w:p w14:paraId="4FE35AC7" w14:textId="77777777" w:rsidR="001C2773" w:rsidRDefault="00643028">
      <w:pPr>
        <w:pStyle w:val="FootnoteText"/>
      </w:pPr>
      <w:r>
        <w:rPr>
          <w:rStyle w:val="FootnoteReference"/>
        </w:rPr>
        <w:footnoteRef/>
      </w:r>
      <w:r>
        <w:t xml:space="preserve"> </w:t>
      </w:r>
      <w:r>
        <w:rPr>
          <w:lang w:val="en-US"/>
        </w:rPr>
        <w:t xml:space="preserve">Mulligan et al, </w:t>
      </w:r>
      <w:r>
        <w:t>Phase I/II study of COVID-19 RNA vaccine BNT162b1 in adults,</w:t>
      </w:r>
      <w:r w:rsidR="001C2773">
        <w:t xml:space="preserve"> | Nature | Vol 586 | 22 October 2020</w:t>
      </w:r>
    </w:p>
    <w:p w14:paraId="7E197B1C" w14:textId="601E5656" w:rsidR="00643028" w:rsidRPr="00643028" w:rsidRDefault="00D35ABE">
      <w:pPr>
        <w:pStyle w:val="FootnoteText"/>
        <w:rPr>
          <w:lang w:val="en-US"/>
        </w:rPr>
      </w:pPr>
      <w:hyperlink r:id="rId1" w:history="1">
        <w:r w:rsidR="001C2773">
          <w:rPr>
            <w:rStyle w:val="Hyperlink"/>
          </w:rPr>
          <w:t>Phase I/II study of COVID-19 RNA vaccine BNT162b1 in adults | Nature</w:t>
        </w:r>
      </w:hyperlink>
    </w:p>
  </w:footnote>
  <w:footnote w:id="6">
    <w:p w14:paraId="2EF2420F" w14:textId="7FC83CD0" w:rsidR="00430F9F" w:rsidRPr="00430F9F" w:rsidRDefault="00430F9F">
      <w:pPr>
        <w:pStyle w:val="FootnoteText"/>
        <w:rPr>
          <w:lang w:val="en-US"/>
        </w:rPr>
      </w:pPr>
      <w:r>
        <w:rPr>
          <w:rStyle w:val="FootnoteReference"/>
        </w:rPr>
        <w:footnoteRef/>
      </w:r>
      <w:r>
        <w:t xml:space="preserve"> </w:t>
      </w:r>
      <w:r w:rsidRPr="00430F9F">
        <w:t>https://doctors4covidethics.org/on-covid-vaccines-why-they-cannot-work-and-irrefutable-evidence-of-their-causative-role-in-deaths-after-vaccination/</w:t>
      </w:r>
    </w:p>
  </w:footnote>
  <w:footnote w:id="7">
    <w:p w14:paraId="265EB918" w14:textId="35278681" w:rsidR="00D6280B" w:rsidRPr="00D6280B" w:rsidRDefault="00D6280B">
      <w:pPr>
        <w:pStyle w:val="FootnoteText"/>
        <w:rPr>
          <w:lang w:val="en-US"/>
        </w:rPr>
      </w:pPr>
      <w:r>
        <w:rPr>
          <w:rStyle w:val="FootnoteReference"/>
        </w:rPr>
        <w:footnoteRef/>
      </w:r>
      <w:r>
        <w:t xml:space="preserve"> </w:t>
      </w:r>
      <w:r w:rsidRPr="00D6280B">
        <w:t>https://doctors4covidethics.org/the-pfizer-mrna-vaccine-pharmacokinetics-and-toxicity/</w:t>
      </w:r>
    </w:p>
  </w:footnote>
  <w:footnote w:id="8">
    <w:p w14:paraId="0A4C1668" w14:textId="218A4EAD" w:rsidR="009219EF" w:rsidRPr="009219EF" w:rsidRDefault="009219EF">
      <w:pPr>
        <w:pStyle w:val="FootnoteText"/>
        <w:rPr>
          <w:lang w:val="en-US"/>
        </w:rPr>
      </w:pPr>
      <w:r>
        <w:rPr>
          <w:rStyle w:val="FootnoteReference"/>
        </w:rPr>
        <w:footnoteRef/>
      </w:r>
      <w:r>
        <w:t xml:space="preserve"> </w:t>
      </w:r>
      <w:r w:rsidRPr="009219EF">
        <w:t>https://www.ema.europa.eu/en/documents/assessment-report/comirnaty-epar-public-assessment-report_en.pdf</w:t>
      </w:r>
    </w:p>
  </w:footnote>
  <w:footnote w:id="9">
    <w:p w14:paraId="2898BF79" w14:textId="64D7A164" w:rsidR="00CD2B47" w:rsidRPr="00CD2B47" w:rsidRDefault="00CD2B47">
      <w:pPr>
        <w:pStyle w:val="FootnoteText"/>
        <w:rPr>
          <w:lang w:val="en-US"/>
        </w:rPr>
      </w:pPr>
      <w:r>
        <w:rPr>
          <w:rStyle w:val="FootnoteReference"/>
        </w:rPr>
        <w:footnoteRef/>
      </w:r>
      <w:r>
        <w:t xml:space="preserve"> </w:t>
      </w:r>
      <w:r w:rsidRPr="00CD2B47">
        <w:t>Lv H, Zhang S, Wang B, Cui S, Yan J. Toxicity of cationic lipids and cationic polymers in gene delivery. J Control Release. 2006 Aug 10;114(1):100-9. doi: 10.1016/j.jconrel.2006.04.014. Epub 2006 May 13. PMID: 16831482.</w:t>
      </w:r>
    </w:p>
  </w:footnote>
  <w:footnote w:id="10">
    <w:p w14:paraId="60F0AB72" w14:textId="496246B1" w:rsidR="00A81A6E" w:rsidRPr="00A81A6E" w:rsidRDefault="00A81A6E">
      <w:pPr>
        <w:pStyle w:val="FootnoteText"/>
        <w:rPr>
          <w:lang w:val="en-US"/>
        </w:rPr>
      </w:pPr>
      <w:r>
        <w:rPr>
          <w:rStyle w:val="FootnoteReference"/>
        </w:rPr>
        <w:footnoteRef/>
      </w:r>
      <w:r>
        <w:t xml:space="preserve"> </w:t>
      </w:r>
      <w:r w:rsidRPr="00A81A6E">
        <w:t>https://ijvtpr.com/index.php/IJVTPR/article/view/23/51</w:t>
      </w:r>
    </w:p>
  </w:footnote>
  <w:footnote w:id="11">
    <w:p w14:paraId="37634C46" w14:textId="21C1EE3E" w:rsidR="00CD2B47" w:rsidRPr="00CD2B47" w:rsidRDefault="00CD2B47">
      <w:pPr>
        <w:pStyle w:val="FootnoteText"/>
        <w:rPr>
          <w:lang w:val="en-US"/>
        </w:rPr>
      </w:pPr>
      <w:r>
        <w:rPr>
          <w:rStyle w:val="FootnoteReference"/>
        </w:rPr>
        <w:footnoteRef/>
      </w:r>
      <w:r>
        <w:t xml:space="preserve"> </w:t>
      </w:r>
      <w:hyperlink r:id="rId2" w:history="1">
        <w:r>
          <w:rPr>
            <w:rStyle w:val="Hyperlink"/>
          </w:rPr>
          <w:t xml:space="preserve">SARS-CoV-2 spike protein-mediated cell </w:t>
        </w:r>
        <w:r>
          <w:rPr>
            <w:rStyle w:val="Hyperlink"/>
          </w:rPr>
          <w:t>signaling in lung vascular cells | bioRxiv</w:t>
        </w:r>
      </w:hyperlink>
    </w:p>
  </w:footnote>
  <w:footnote w:id="12">
    <w:p w14:paraId="6346BAB5" w14:textId="714098D2" w:rsidR="00CD2B47" w:rsidRPr="00CD2B47" w:rsidRDefault="00CD2B47">
      <w:pPr>
        <w:pStyle w:val="FootnoteText"/>
        <w:rPr>
          <w:lang w:val="en-US"/>
        </w:rPr>
      </w:pPr>
      <w:r>
        <w:rPr>
          <w:rStyle w:val="FootnoteReference"/>
        </w:rPr>
        <w:footnoteRef/>
      </w:r>
      <w:r>
        <w:t xml:space="preserve"> </w:t>
      </w:r>
      <w:hyperlink r:id="rId3" w:history="1">
        <w:r>
          <w:rPr>
            <w:rStyle w:val="Hyperlink"/>
          </w:rPr>
          <w:t>The spike protein of SARS-</w:t>
        </w:r>
        <w:r>
          <w:rPr>
            <w:rStyle w:val="Hyperlink"/>
          </w:rPr>
          <w:t>CoV — a target for vaccine and therapeutic development | Nature Reviews Microbiology</w:t>
        </w:r>
      </w:hyperlink>
    </w:p>
  </w:footnote>
  <w:footnote w:id="13">
    <w:p w14:paraId="74B894C7" w14:textId="014D881A" w:rsidR="00CD2B47" w:rsidRPr="00CD2B47" w:rsidRDefault="00CD2B47">
      <w:pPr>
        <w:pStyle w:val="FootnoteText"/>
        <w:rPr>
          <w:lang w:val="en-US"/>
        </w:rPr>
      </w:pPr>
      <w:r>
        <w:rPr>
          <w:rStyle w:val="FootnoteReference"/>
        </w:rPr>
        <w:footnoteRef/>
      </w:r>
      <w:r>
        <w:t xml:space="preserve"> </w:t>
      </w:r>
      <w:hyperlink r:id="rId4" w:history="1">
        <w:r>
          <w:rPr>
            <w:rStyle w:val="Hyperlink"/>
          </w:rPr>
          <w:t>The SARS-CoV-2 spike protein alters barrier function in 2D static and 3D microfluidic in-vitro models of the human blood–brain barrier - PMC (nih.gov)</w:t>
        </w:r>
      </w:hyperlink>
    </w:p>
  </w:footnote>
  <w:footnote w:id="14">
    <w:p w14:paraId="4DA779E4" w14:textId="17B8FCC4" w:rsidR="006D1AB5" w:rsidRPr="006D1AB5" w:rsidRDefault="006D1AB5">
      <w:pPr>
        <w:pStyle w:val="FootnoteText"/>
        <w:rPr>
          <w:lang w:val="en-US"/>
        </w:rPr>
      </w:pPr>
      <w:r>
        <w:rPr>
          <w:rStyle w:val="FootnoteReference"/>
        </w:rPr>
        <w:footnoteRef/>
      </w:r>
      <w:r>
        <w:t xml:space="preserve"> </w:t>
      </w:r>
      <w:r w:rsidRPr="006D1AB5">
        <w:t>https://journals.plos.org/plosone/article?id=10.1371/journal.pone.0035421</w:t>
      </w:r>
    </w:p>
  </w:footnote>
  <w:footnote w:id="15">
    <w:p w14:paraId="40610921" w14:textId="31E18C3C" w:rsidR="006D1AB5" w:rsidRPr="006D1AB5" w:rsidRDefault="006D1AB5">
      <w:pPr>
        <w:pStyle w:val="FootnoteText"/>
        <w:rPr>
          <w:lang w:val="en-US"/>
        </w:rPr>
      </w:pPr>
      <w:r>
        <w:rPr>
          <w:rStyle w:val="FootnoteReference"/>
        </w:rPr>
        <w:footnoteRef/>
      </w:r>
      <w:r>
        <w:t xml:space="preserve"> </w:t>
      </w:r>
      <w:r w:rsidRPr="006D1AB5">
        <w:t>https://pubmed.ncbi.nlm.nih.gov/32908214/</w:t>
      </w:r>
    </w:p>
  </w:footnote>
  <w:footnote w:id="16">
    <w:p w14:paraId="763FE707" w14:textId="66AD85BE" w:rsidR="00BE4C22" w:rsidRPr="00BE4C22" w:rsidRDefault="00BE4C22">
      <w:pPr>
        <w:pStyle w:val="FootnoteText"/>
        <w:rPr>
          <w:lang w:val="en-US"/>
        </w:rPr>
      </w:pPr>
      <w:r>
        <w:rPr>
          <w:rStyle w:val="FootnoteReference"/>
        </w:rPr>
        <w:footnoteRef/>
      </w:r>
      <w:r>
        <w:t xml:space="preserve"> </w:t>
      </w:r>
      <w:r w:rsidRPr="00BE4C22">
        <w:t>https://www.who.int/publications/m/item/evaluation-of-the-quality-safety-and-efficacy-of-messenger-rna-vaccines-for-the-prevention-of-infectious-diseases-regulatory-considerations</w:t>
      </w:r>
    </w:p>
  </w:footnote>
  <w:footnote w:id="17">
    <w:p w14:paraId="202867A8" w14:textId="6301A326" w:rsidR="000660B4" w:rsidRPr="000660B4" w:rsidRDefault="000660B4">
      <w:pPr>
        <w:pStyle w:val="FootnoteText"/>
        <w:rPr>
          <w:lang w:val="en-US"/>
        </w:rPr>
      </w:pPr>
      <w:r>
        <w:rPr>
          <w:rStyle w:val="FootnoteReference"/>
        </w:rPr>
        <w:footnoteRef/>
      </w:r>
      <w:r>
        <w:t xml:space="preserve"> </w:t>
      </w:r>
      <w:r w:rsidRPr="000660B4">
        <w:t>https://www.fda.gov/media/139638/download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36237D"/>
    <w:multiLevelType w:val="hybridMultilevel"/>
    <w:tmpl w:val="563A5D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18E0943"/>
    <w:multiLevelType w:val="hybridMultilevel"/>
    <w:tmpl w:val="EF24EF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7763909"/>
    <w:multiLevelType w:val="hybridMultilevel"/>
    <w:tmpl w:val="845ADB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BCF1AB0"/>
    <w:multiLevelType w:val="hybridMultilevel"/>
    <w:tmpl w:val="EBD61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0B6"/>
    <w:rsid w:val="00027BB7"/>
    <w:rsid w:val="00042F01"/>
    <w:rsid w:val="000572F5"/>
    <w:rsid w:val="00061BEC"/>
    <w:rsid w:val="000660B4"/>
    <w:rsid w:val="00091FD0"/>
    <w:rsid w:val="000C435D"/>
    <w:rsid w:val="000C7946"/>
    <w:rsid w:val="000D7B1C"/>
    <w:rsid w:val="000E6A61"/>
    <w:rsid w:val="000F48EE"/>
    <w:rsid w:val="001116E0"/>
    <w:rsid w:val="001124A5"/>
    <w:rsid w:val="00127416"/>
    <w:rsid w:val="00131BBF"/>
    <w:rsid w:val="00142462"/>
    <w:rsid w:val="00147FF2"/>
    <w:rsid w:val="0015093A"/>
    <w:rsid w:val="00152433"/>
    <w:rsid w:val="00167307"/>
    <w:rsid w:val="001C2773"/>
    <w:rsid w:val="001C5BAB"/>
    <w:rsid w:val="001D2DF9"/>
    <w:rsid w:val="001E2FBD"/>
    <w:rsid w:val="001F28C6"/>
    <w:rsid w:val="001F62A0"/>
    <w:rsid w:val="00215403"/>
    <w:rsid w:val="00215AB8"/>
    <w:rsid w:val="00241D7B"/>
    <w:rsid w:val="0025214D"/>
    <w:rsid w:val="0028289A"/>
    <w:rsid w:val="00284D1B"/>
    <w:rsid w:val="0029133F"/>
    <w:rsid w:val="002B7428"/>
    <w:rsid w:val="002C3C76"/>
    <w:rsid w:val="002D3868"/>
    <w:rsid w:val="002F64FA"/>
    <w:rsid w:val="00307053"/>
    <w:rsid w:val="003108E9"/>
    <w:rsid w:val="00317729"/>
    <w:rsid w:val="00321C48"/>
    <w:rsid w:val="00331556"/>
    <w:rsid w:val="00374CF7"/>
    <w:rsid w:val="00391E57"/>
    <w:rsid w:val="00392D26"/>
    <w:rsid w:val="00395A38"/>
    <w:rsid w:val="003A2A5E"/>
    <w:rsid w:val="003A6CAB"/>
    <w:rsid w:val="003B4059"/>
    <w:rsid w:val="003C14AB"/>
    <w:rsid w:val="003C4781"/>
    <w:rsid w:val="003C6399"/>
    <w:rsid w:val="003D3E63"/>
    <w:rsid w:val="003D629F"/>
    <w:rsid w:val="003E2A0F"/>
    <w:rsid w:val="003E2CA6"/>
    <w:rsid w:val="003F092F"/>
    <w:rsid w:val="003F6A88"/>
    <w:rsid w:val="0040174A"/>
    <w:rsid w:val="00403BDF"/>
    <w:rsid w:val="004115EC"/>
    <w:rsid w:val="0041162E"/>
    <w:rsid w:val="00412176"/>
    <w:rsid w:val="00423B2B"/>
    <w:rsid w:val="00425249"/>
    <w:rsid w:val="00426976"/>
    <w:rsid w:val="00430F9F"/>
    <w:rsid w:val="0043705E"/>
    <w:rsid w:val="00443C7A"/>
    <w:rsid w:val="00443D47"/>
    <w:rsid w:val="00447DA0"/>
    <w:rsid w:val="004635D6"/>
    <w:rsid w:val="00465972"/>
    <w:rsid w:val="00487C8F"/>
    <w:rsid w:val="0049147C"/>
    <w:rsid w:val="004A2995"/>
    <w:rsid w:val="004B0EB3"/>
    <w:rsid w:val="004B2176"/>
    <w:rsid w:val="004B3553"/>
    <w:rsid w:val="004C3D8E"/>
    <w:rsid w:val="004C58CE"/>
    <w:rsid w:val="004D248A"/>
    <w:rsid w:val="004D576C"/>
    <w:rsid w:val="004E4068"/>
    <w:rsid w:val="004F7C11"/>
    <w:rsid w:val="00503A96"/>
    <w:rsid w:val="00505086"/>
    <w:rsid w:val="00513A28"/>
    <w:rsid w:val="00523F75"/>
    <w:rsid w:val="00530AA2"/>
    <w:rsid w:val="005352F0"/>
    <w:rsid w:val="005520B2"/>
    <w:rsid w:val="005610FA"/>
    <w:rsid w:val="005630ED"/>
    <w:rsid w:val="0057767B"/>
    <w:rsid w:val="00585369"/>
    <w:rsid w:val="005A5111"/>
    <w:rsid w:val="005A6770"/>
    <w:rsid w:val="005C74E8"/>
    <w:rsid w:val="005D1349"/>
    <w:rsid w:val="005D170A"/>
    <w:rsid w:val="005D5920"/>
    <w:rsid w:val="005D766F"/>
    <w:rsid w:val="005E12D3"/>
    <w:rsid w:val="005F2C3F"/>
    <w:rsid w:val="005F3901"/>
    <w:rsid w:val="005F4FB3"/>
    <w:rsid w:val="00613C27"/>
    <w:rsid w:val="0061558C"/>
    <w:rsid w:val="00643028"/>
    <w:rsid w:val="00646334"/>
    <w:rsid w:val="0065223B"/>
    <w:rsid w:val="00654741"/>
    <w:rsid w:val="00666244"/>
    <w:rsid w:val="00671C9A"/>
    <w:rsid w:val="006721D1"/>
    <w:rsid w:val="00677820"/>
    <w:rsid w:val="00685D08"/>
    <w:rsid w:val="006879AD"/>
    <w:rsid w:val="006A0B5D"/>
    <w:rsid w:val="006A30EF"/>
    <w:rsid w:val="006A705C"/>
    <w:rsid w:val="006B32B0"/>
    <w:rsid w:val="006B71C2"/>
    <w:rsid w:val="006D1AB5"/>
    <w:rsid w:val="006D70B6"/>
    <w:rsid w:val="006F2868"/>
    <w:rsid w:val="007027D4"/>
    <w:rsid w:val="00705B5C"/>
    <w:rsid w:val="007202A6"/>
    <w:rsid w:val="00721495"/>
    <w:rsid w:val="0074373E"/>
    <w:rsid w:val="00752721"/>
    <w:rsid w:val="007638D3"/>
    <w:rsid w:val="00770B5F"/>
    <w:rsid w:val="007735D1"/>
    <w:rsid w:val="00793C79"/>
    <w:rsid w:val="0079476B"/>
    <w:rsid w:val="00794CBB"/>
    <w:rsid w:val="007C3376"/>
    <w:rsid w:val="007C5A6E"/>
    <w:rsid w:val="007D02FE"/>
    <w:rsid w:val="007E2D40"/>
    <w:rsid w:val="008016E5"/>
    <w:rsid w:val="00805569"/>
    <w:rsid w:val="00833374"/>
    <w:rsid w:val="008339A5"/>
    <w:rsid w:val="00840701"/>
    <w:rsid w:val="008451CE"/>
    <w:rsid w:val="00851F56"/>
    <w:rsid w:val="0085240A"/>
    <w:rsid w:val="00857F44"/>
    <w:rsid w:val="0087452F"/>
    <w:rsid w:val="008973C0"/>
    <w:rsid w:val="008A4D9E"/>
    <w:rsid w:val="008B2066"/>
    <w:rsid w:val="008B48EF"/>
    <w:rsid w:val="008D0C44"/>
    <w:rsid w:val="008D2C5F"/>
    <w:rsid w:val="008F3857"/>
    <w:rsid w:val="00916B3E"/>
    <w:rsid w:val="009208E1"/>
    <w:rsid w:val="009219EF"/>
    <w:rsid w:val="009225A5"/>
    <w:rsid w:val="009412D4"/>
    <w:rsid w:val="0094390C"/>
    <w:rsid w:val="00943B79"/>
    <w:rsid w:val="00944DC5"/>
    <w:rsid w:val="00947C96"/>
    <w:rsid w:val="009513D9"/>
    <w:rsid w:val="00954B58"/>
    <w:rsid w:val="00966690"/>
    <w:rsid w:val="00980167"/>
    <w:rsid w:val="00997115"/>
    <w:rsid w:val="009C2591"/>
    <w:rsid w:val="009C722C"/>
    <w:rsid w:val="009F0E45"/>
    <w:rsid w:val="009F274A"/>
    <w:rsid w:val="009F3375"/>
    <w:rsid w:val="00A05A2B"/>
    <w:rsid w:val="00A1246B"/>
    <w:rsid w:val="00A20E53"/>
    <w:rsid w:val="00A21FEC"/>
    <w:rsid w:val="00A46A28"/>
    <w:rsid w:val="00A46BBA"/>
    <w:rsid w:val="00A4742E"/>
    <w:rsid w:val="00A541DF"/>
    <w:rsid w:val="00A54A86"/>
    <w:rsid w:val="00A61597"/>
    <w:rsid w:val="00A62516"/>
    <w:rsid w:val="00A64B51"/>
    <w:rsid w:val="00A81A6E"/>
    <w:rsid w:val="00A87C94"/>
    <w:rsid w:val="00A925C1"/>
    <w:rsid w:val="00A93F77"/>
    <w:rsid w:val="00AA106C"/>
    <w:rsid w:val="00AA6670"/>
    <w:rsid w:val="00AB22CD"/>
    <w:rsid w:val="00AD2C7E"/>
    <w:rsid w:val="00AE7B7A"/>
    <w:rsid w:val="00AF187D"/>
    <w:rsid w:val="00AF1C25"/>
    <w:rsid w:val="00AF7DB6"/>
    <w:rsid w:val="00B036AE"/>
    <w:rsid w:val="00B044A0"/>
    <w:rsid w:val="00B12708"/>
    <w:rsid w:val="00B30782"/>
    <w:rsid w:val="00B35370"/>
    <w:rsid w:val="00B557F6"/>
    <w:rsid w:val="00B841DF"/>
    <w:rsid w:val="00B85303"/>
    <w:rsid w:val="00B901B0"/>
    <w:rsid w:val="00BA38D2"/>
    <w:rsid w:val="00BA3E94"/>
    <w:rsid w:val="00BB105C"/>
    <w:rsid w:val="00BB778D"/>
    <w:rsid w:val="00BD4CEC"/>
    <w:rsid w:val="00BD4F14"/>
    <w:rsid w:val="00BE2A67"/>
    <w:rsid w:val="00BE44DC"/>
    <w:rsid w:val="00BE4C22"/>
    <w:rsid w:val="00C05A6C"/>
    <w:rsid w:val="00C15D86"/>
    <w:rsid w:val="00C2033F"/>
    <w:rsid w:val="00C2519D"/>
    <w:rsid w:val="00C36EE0"/>
    <w:rsid w:val="00C37B88"/>
    <w:rsid w:val="00C47A55"/>
    <w:rsid w:val="00C51B83"/>
    <w:rsid w:val="00C55040"/>
    <w:rsid w:val="00C62868"/>
    <w:rsid w:val="00C63B60"/>
    <w:rsid w:val="00C65002"/>
    <w:rsid w:val="00CA2E34"/>
    <w:rsid w:val="00CB1A99"/>
    <w:rsid w:val="00CC25BE"/>
    <w:rsid w:val="00CD0B37"/>
    <w:rsid w:val="00CD2B47"/>
    <w:rsid w:val="00CE1F58"/>
    <w:rsid w:val="00CE33B7"/>
    <w:rsid w:val="00CE6C36"/>
    <w:rsid w:val="00CF6C69"/>
    <w:rsid w:val="00D00433"/>
    <w:rsid w:val="00D05359"/>
    <w:rsid w:val="00D17029"/>
    <w:rsid w:val="00D2551E"/>
    <w:rsid w:val="00D25994"/>
    <w:rsid w:val="00D311C5"/>
    <w:rsid w:val="00D35ABE"/>
    <w:rsid w:val="00D45935"/>
    <w:rsid w:val="00D5082C"/>
    <w:rsid w:val="00D522C2"/>
    <w:rsid w:val="00D5471E"/>
    <w:rsid w:val="00D61B2D"/>
    <w:rsid w:val="00D6280B"/>
    <w:rsid w:val="00D66C3C"/>
    <w:rsid w:val="00D70A3E"/>
    <w:rsid w:val="00D71AD9"/>
    <w:rsid w:val="00D81C31"/>
    <w:rsid w:val="00D9006E"/>
    <w:rsid w:val="00D97211"/>
    <w:rsid w:val="00DA1325"/>
    <w:rsid w:val="00DA2909"/>
    <w:rsid w:val="00DA3DA6"/>
    <w:rsid w:val="00DB74AA"/>
    <w:rsid w:val="00DC4C05"/>
    <w:rsid w:val="00DD3170"/>
    <w:rsid w:val="00DD3551"/>
    <w:rsid w:val="00DE5719"/>
    <w:rsid w:val="00DE5A61"/>
    <w:rsid w:val="00DF55A2"/>
    <w:rsid w:val="00E0069D"/>
    <w:rsid w:val="00E03AD5"/>
    <w:rsid w:val="00E112C9"/>
    <w:rsid w:val="00E20D0D"/>
    <w:rsid w:val="00E20FE9"/>
    <w:rsid w:val="00E21214"/>
    <w:rsid w:val="00E3410B"/>
    <w:rsid w:val="00E56085"/>
    <w:rsid w:val="00E567AF"/>
    <w:rsid w:val="00E61734"/>
    <w:rsid w:val="00E76B28"/>
    <w:rsid w:val="00E804FD"/>
    <w:rsid w:val="00E81832"/>
    <w:rsid w:val="00E81B49"/>
    <w:rsid w:val="00E8754C"/>
    <w:rsid w:val="00EA4C7B"/>
    <w:rsid w:val="00EB29D6"/>
    <w:rsid w:val="00EB5B2E"/>
    <w:rsid w:val="00EC492C"/>
    <w:rsid w:val="00ED2098"/>
    <w:rsid w:val="00EE7011"/>
    <w:rsid w:val="00EF09D3"/>
    <w:rsid w:val="00EF3CC5"/>
    <w:rsid w:val="00EF4B35"/>
    <w:rsid w:val="00F16A32"/>
    <w:rsid w:val="00F415B9"/>
    <w:rsid w:val="00F4464F"/>
    <w:rsid w:val="00F5469F"/>
    <w:rsid w:val="00F62FD2"/>
    <w:rsid w:val="00FC4CB6"/>
    <w:rsid w:val="00FD19A2"/>
    <w:rsid w:val="00FD4088"/>
    <w:rsid w:val="00FD49FA"/>
    <w:rsid w:val="00FD55E5"/>
    <w:rsid w:val="00FE274E"/>
    <w:rsid w:val="00FF5F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6B742"/>
  <w15:chartTrackingRefBased/>
  <w15:docId w15:val="{653DDA79-2A62-4C7A-B7B0-553B70CE61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ubtleReference">
    <w:name w:val="Subtle Reference"/>
    <w:basedOn w:val="DefaultParagraphFont"/>
    <w:uiPriority w:val="31"/>
    <w:qFormat/>
    <w:rsid w:val="00947C96"/>
    <w:rPr>
      <w:smallCaps/>
      <w:color w:val="5A5A5A" w:themeColor="text1" w:themeTint="A5"/>
    </w:rPr>
  </w:style>
  <w:style w:type="character" w:styleId="Hyperlink">
    <w:name w:val="Hyperlink"/>
    <w:basedOn w:val="DefaultParagraphFont"/>
    <w:uiPriority w:val="99"/>
    <w:unhideWhenUsed/>
    <w:rsid w:val="005F2C3F"/>
    <w:rPr>
      <w:color w:val="0563C1" w:themeColor="hyperlink"/>
      <w:u w:val="single"/>
    </w:rPr>
  </w:style>
  <w:style w:type="character" w:styleId="UnresolvedMention">
    <w:name w:val="Unresolved Mention"/>
    <w:basedOn w:val="DefaultParagraphFont"/>
    <w:uiPriority w:val="99"/>
    <w:semiHidden/>
    <w:unhideWhenUsed/>
    <w:rsid w:val="005F2C3F"/>
    <w:rPr>
      <w:color w:val="605E5C"/>
      <w:shd w:val="clear" w:color="auto" w:fill="E1DFDD"/>
    </w:rPr>
  </w:style>
  <w:style w:type="character" w:styleId="FollowedHyperlink">
    <w:name w:val="FollowedHyperlink"/>
    <w:basedOn w:val="DefaultParagraphFont"/>
    <w:uiPriority w:val="99"/>
    <w:semiHidden/>
    <w:unhideWhenUsed/>
    <w:rsid w:val="004E4068"/>
    <w:rPr>
      <w:color w:val="954F72" w:themeColor="followedHyperlink"/>
      <w:u w:val="single"/>
    </w:rPr>
  </w:style>
  <w:style w:type="paragraph" w:styleId="FootnoteText">
    <w:name w:val="footnote text"/>
    <w:basedOn w:val="Normal"/>
    <w:link w:val="FootnoteTextChar"/>
    <w:uiPriority w:val="99"/>
    <w:semiHidden/>
    <w:unhideWhenUsed/>
    <w:rsid w:val="00B841D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841DF"/>
    <w:rPr>
      <w:sz w:val="20"/>
      <w:szCs w:val="20"/>
    </w:rPr>
  </w:style>
  <w:style w:type="character" w:styleId="FootnoteReference">
    <w:name w:val="footnote reference"/>
    <w:basedOn w:val="DefaultParagraphFont"/>
    <w:uiPriority w:val="99"/>
    <w:semiHidden/>
    <w:unhideWhenUsed/>
    <w:rsid w:val="00B841DF"/>
    <w:rPr>
      <w:vertAlign w:val="superscript"/>
    </w:rPr>
  </w:style>
  <w:style w:type="paragraph" w:styleId="ListParagraph">
    <w:name w:val="List Paragraph"/>
    <w:basedOn w:val="Normal"/>
    <w:uiPriority w:val="34"/>
    <w:qFormat/>
    <w:rsid w:val="00C51B83"/>
    <w:pPr>
      <w:ind w:left="720"/>
      <w:contextualSpacing/>
    </w:pPr>
  </w:style>
  <w:style w:type="character" w:styleId="Strong">
    <w:name w:val="Strong"/>
    <w:basedOn w:val="DefaultParagraphFont"/>
    <w:uiPriority w:val="22"/>
    <w:qFormat/>
    <w:rsid w:val="00423B2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4209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customXml" Target="ink/ink2.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5.png"/></Relationships>
</file>

<file path=word/_rels/footnotes.xml.rels><?xml version="1.0" encoding="UTF-8" standalone="yes"?>
<Relationships xmlns="http://schemas.openxmlformats.org/package/2006/relationships"><Relationship Id="rId3" Type="http://schemas.openxmlformats.org/officeDocument/2006/relationships/hyperlink" Target="https://www.nature.com/articles/nrmicro2090" TargetMode="External"/><Relationship Id="rId2" Type="http://schemas.openxmlformats.org/officeDocument/2006/relationships/hyperlink" Target="https://www.biorxiv.org/content/10.1101/2020.10.12.335083v1" TargetMode="External"/><Relationship Id="rId1" Type="http://schemas.openxmlformats.org/officeDocument/2006/relationships/hyperlink" Target="https://www.nature.com/articles/s41586-020-2639-4" TargetMode="External"/><Relationship Id="rId4" Type="http://schemas.openxmlformats.org/officeDocument/2006/relationships/hyperlink" Target="https://www.ncbi.nlm.nih.gov/pmc/articles/PMC7547916/" TargetMode="Externa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2-03-28T17:38:40.838"/>
    </inkml:context>
    <inkml:brush xml:id="br0">
      <inkml:brushProperty name="width" value="0.2" units="cm"/>
      <inkml:brushProperty name="height" value="0.4" units="cm"/>
      <inkml:brushProperty name="color" value="#FFFC00"/>
      <inkml:brushProperty name="tip" value="rectangle"/>
      <inkml:brushProperty name="rasterOp" value="maskPen"/>
      <inkml:brushProperty name="ignorePressure" value="1"/>
    </inkml:brush>
  </inkml:definitions>
  <inkml:trace contextRef="#ctx0" brushRef="#br0">0 173,'5'0,"0"1,-1 0,1 0,0 0,-1 0,1 1,4 2,13 3,113 20,-80-18,92 18,-41-11,-32-6,66 9,274 1,90-20,-382-7,-3 0,992 8,-1074-3,72-13,-41 4,45-1,45-7,-85 9,22-5,-63 10,0 1,33 1,16-2,36 1,3 0,-50-9,-16 3,131-5,-99 9,20 0,-4-1,-1 1,-10-1,5-1,267 9,-253 6,-18 0,431-6,-267-2,-123 0,144 2,-167 13,-25-1,-5-2,17 2,3-6,89 1,-169-9,-13 1,-1-1,0 1,1 0,-1 1,1-1,10 4,-16-4,0 0,0 1,0-1,0 1,0-1,-1 1,1-1,0 1,0 0,0-1,-1 1,1 0,0 0,-1 0,1-1,-1 1,1 0,-1 0,1 0,-1 0,1 2,0 21,-1-1,0-22,0 0,1 0,-1 0,0 0,1 0,-1 0,1 0,-1 0,1-1,-1 1,1 0,-1 0,1 0,0-1,-1 1,1 0,0-1,1 2,2-1,0 1,-1-1,1 0,0 0,0 0,0-1,0 1,0-1,7 0,40-6,-33 4,226-17,-110 13,-5-1,24 9,121-3,-108-13,-43 2,63-3,-159 14,0-2,0-1,28-8,32-5,8 7,115 5,-195 4,0-1,0 0,20-6,-16 4,27-3,182 4,-126 4,-15 0,94-2,-88-11,-14 1,-54 9,215-23,-34-6,-28 11,-88 11,229-11,1 17,-312 3,0 0,-1 1,1 0,0 0,-1 1,1 0,-1 0,13 7,48 29,-23-12,-1-4,1-3,2-2,-1-2,2-2,51 8,-52-15,68 2,49-10,-53 0,1305 2,-1327-7,-5 0,461 6,-262 2,-269-2,0-1,0 0,0-1,13-4,20-5,24-3,-39 7,1 1,47-2,-15 2,10 0,263 8,-314 1,-15 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2-03-28T17:38:32.871"/>
    </inkml:context>
    <inkml:brush xml:id="br0">
      <inkml:brushProperty name="width" value="0.2" units="cm"/>
      <inkml:brushProperty name="height" value="0.4" units="cm"/>
      <inkml:brushProperty name="color" value="#FFFC00"/>
      <inkml:brushProperty name="tip" value="rectangle"/>
      <inkml:brushProperty name="rasterOp" value="maskPen"/>
      <inkml:brushProperty name="ignorePressure" value="1"/>
    </inkml:brush>
  </inkml:definitions>
  <inkml:trace contextRef="#ctx0" brushRef="#br0">0 42,'680'0,"-591"7,-6-1,604-5,-335-2,1555 1,-1787-7,-1 0,104 0,34 1,-76 6,-77-13,-6 1,254 9,-191 5,2259-2,-2413 0,0 1,0 0,10 3,0 0,-7-2</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8A440B-1906-4593-8074-C251EF0A67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4117</Words>
  <Characters>23467</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dc:creator>
  <cp:keywords/>
  <dc:description/>
  <cp:lastModifiedBy>Craig</cp:lastModifiedBy>
  <cp:revision>2</cp:revision>
  <dcterms:created xsi:type="dcterms:W3CDTF">2022-03-30T18:05:00Z</dcterms:created>
  <dcterms:modified xsi:type="dcterms:W3CDTF">2022-03-30T18:05:00Z</dcterms:modified>
</cp:coreProperties>
</file>